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16764078" w14:textId="77777777" w:rsidR="00A1037F" w:rsidRDefault="00A1037F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2810023" w14:textId="77777777" w:rsidR="00A1037F" w:rsidRDefault="00A1037F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EF2AE66" w14:textId="77777777" w:rsidR="00704ACC" w:rsidRPr="00A458BF" w:rsidRDefault="00704ACC" w:rsidP="00A1037F">
      <w:pPr>
        <w:spacing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1.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Statement</w:t>
      </w:r>
    </w:p>
    <w:p w14:paraId="0F192678" w14:textId="3509DF7B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committed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activities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strong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dedication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stewardship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recognize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importance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protecting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aim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minimize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ecological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impact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reflects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dedication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conservation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outlines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goals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effectively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footprint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2E591E6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2. Legal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Compliance</w:t>
      </w:r>
      <w:proofErr w:type="spellEnd"/>
    </w:p>
    <w:p w14:paraId="4C1B0942" w14:textId="69186AC8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pledges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relevant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legislation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regions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where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operate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commitment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continuous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evaluation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practices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legal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requirements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where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possible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exceed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statutory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protections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43F079C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3.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Management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System</w:t>
      </w:r>
      <w:proofErr w:type="spellEnd"/>
    </w:p>
    <w:p w14:paraId="4113D552" w14:textId="78273CB3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committed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developing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maintaining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an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Management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System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(EMS)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thoughtfully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addresses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impact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EMS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incorporate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following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critical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components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30EB88FA" w14:textId="77777777" w:rsidR="00704ACC" w:rsidRPr="00A458BF" w:rsidRDefault="00704ACC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a.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Goals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Benchmarks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Setting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measurable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goals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benchmarks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improve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efficiency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reduce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impact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b. </w:t>
      </w: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Risk Evaluation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Mitigation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Identifying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risks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associated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operations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appropriate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measures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mitigate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these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risks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c.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Employee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Training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Awareness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education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awareness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initiatives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staff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reinforce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understanding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responsibilities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encourage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involvement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achieving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goals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d. </w:t>
      </w: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Resource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Utilization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Efficiency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Striving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efficient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use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resources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such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as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energy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water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materials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effective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processes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technologies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e.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Waste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Management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Strategies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practices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reduce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recycle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dispose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waste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ways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minimize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impact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f.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Pollution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Prevention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Measures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Taking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proactive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steps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prevent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pollution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proper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management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hazardous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substances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reducing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air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water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pollution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g.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Ongoing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Improvement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: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Regularly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evaluating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performance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identify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opportunities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continuous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improvement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management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approaches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6F29EA8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4.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Sustainable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Supply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Chain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Engagement</w:t>
      </w:r>
      <w:proofErr w:type="spellEnd"/>
    </w:p>
    <w:p w14:paraId="34BD89F2" w14:textId="71084E10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promote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sustainable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practices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throughout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chain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encourage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adopt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eco-friendly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methods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applicable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regulations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661C681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5.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Stakeholder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Engagement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Transparency</w:t>
      </w:r>
      <w:proofErr w:type="spellEnd"/>
    </w:p>
    <w:p w14:paraId="5009288A" w14:textId="47F3C485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committed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engaging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transparently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stakeholders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issues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approach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includes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0A6522A2" w14:textId="77777777" w:rsidR="00704ACC" w:rsidRPr="00A458BF" w:rsidRDefault="00704ACC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a.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Gathering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considering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stakeholder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feedback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concerns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addressing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expectations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worries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Sharing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information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about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goals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achievements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customers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public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c.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promptly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openly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inquiries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concerns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regarding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practices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4EE54ED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6.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Performance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Monitoring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Reporting</w:t>
      </w:r>
      <w:proofErr w:type="spellEnd"/>
    </w:p>
    <w:p w14:paraId="263CEB28" w14:textId="04011083" w:rsidR="00704ACC" w:rsidRPr="00A458BF" w:rsidRDefault="0023132F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systems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monitor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report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performance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="00704ACC"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0A1615F5" w14:textId="77777777" w:rsidR="00704ACC" w:rsidRPr="00A458BF" w:rsidRDefault="00704ACC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lastRenderedPageBreak/>
        <w:t xml:space="preserve">a.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Continuously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assessing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key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indicators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track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progress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toward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established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objectives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b.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Communicating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environmental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performance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results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stakeholders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through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annual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sustainability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reports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  <w:t xml:space="preserve">c.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Conducting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internal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audits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review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identify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areas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improvement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C5502DE" w14:textId="77777777" w:rsidR="00704ACC" w:rsidRPr="00A458BF" w:rsidRDefault="00704ACC" w:rsidP="00704ACC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7.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Review</w:t>
      </w:r>
      <w:proofErr w:type="spellEnd"/>
    </w:p>
    <w:p w14:paraId="345BAE3B" w14:textId="77777777" w:rsidR="00704ACC" w:rsidRPr="00A458BF" w:rsidRDefault="00704ACC" w:rsidP="00704ACC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be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periodically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reviewed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ongoing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relevance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effectiveness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it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aligns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best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practices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technological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advancements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evolving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regulatory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Pr="00A458B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8F66" w14:textId="77777777" w:rsidR="00322E4B" w:rsidRDefault="00322E4B" w:rsidP="0007329C">
      <w:r>
        <w:separator/>
      </w:r>
    </w:p>
  </w:endnote>
  <w:endnote w:type="continuationSeparator" w:id="0">
    <w:p w14:paraId="0E3CF5A4" w14:textId="77777777" w:rsidR="00322E4B" w:rsidRDefault="00322E4B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6E8B" w14:textId="77777777" w:rsidR="00322E4B" w:rsidRDefault="00322E4B" w:rsidP="0007329C">
      <w:r>
        <w:separator/>
      </w:r>
    </w:p>
  </w:footnote>
  <w:footnote w:type="continuationSeparator" w:id="0">
    <w:p w14:paraId="403428BA" w14:textId="77777777" w:rsidR="00322E4B" w:rsidRDefault="00322E4B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17F7C65F" w:rsidR="001968D8" w:rsidRPr="0007329C" w:rsidRDefault="001226A1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B54927">
            <w:rPr>
              <w:rFonts w:asciiTheme="majorHAnsi" w:hAnsiTheme="majorHAnsi" w:cstheme="majorHAnsi"/>
            </w:rPr>
            <w:t xml:space="preserve">ENVIRONMENTAL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6E119D0D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1226A1">
            <w:rPr>
              <w:rFonts w:asciiTheme="majorHAnsi" w:hAnsiTheme="majorHAnsi" w:cstheme="majorHAnsi"/>
              <w:sz w:val="14"/>
              <w:szCs w:val="14"/>
            </w:rPr>
            <w:t>05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="002A486B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226A1"/>
    <w:rsid w:val="001576BD"/>
    <w:rsid w:val="001968D8"/>
    <w:rsid w:val="001A2168"/>
    <w:rsid w:val="00203864"/>
    <w:rsid w:val="0023132F"/>
    <w:rsid w:val="0026204D"/>
    <w:rsid w:val="002A486B"/>
    <w:rsid w:val="002E46AF"/>
    <w:rsid w:val="00301505"/>
    <w:rsid w:val="00322C30"/>
    <w:rsid w:val="00322E4B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F14E9"/>
    <w:rsid w:val="00517297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4ACC"/>
    <w:rsid w:val="007053B5"/>
    <w:rsid w:val="00732468"/>
    <w:rsid w:val="0074208F"/>
    <w:rsid w:val="00750355"/>
    <w:rsid w:val="007C0F55"/>
    <w:rsid w:val="00817DAA"/>
    <w:rsid w:val="008E010A"/>
    <w:rsid w:val="00955E4D"/>
    <w:rsid w:val="00984549"/>
    <w:rsid w:val="00A1037F"/>
    <w:rsid w:val="00A15756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93081"/>
    <w:rsid w:val="00DA1F75"/>
    <w:rsid w:val="00DC0E57"/>
    <w:rsid w:val="00E022D9"/>
    <w:rsid w:val="00E06C2A"/>
    <w:rsid w:val="00E47CED"/>
    <w:rsid w:val="00E55450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54</cp:revision>
  <dcterms:created xsi:type="dcterms:W3CDTF">2023-11-17T09:32:00Z</dcterms:created>
  <dcterms:modified xsi:type="dcterms:W3CDTF">2025-06-24T18:52:00Z</dcterms:modified>
</cp:coreProperties>
</file>