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0EB5348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079B8BA" w14:textId="77777777" w:rsidR="003C06F6" w:rsidRPr="00A82E13" w:rsidRDefault="003C06F6" w:rsidP="003C06F6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82E13">
        <w:rPr>
          <w:rFonts w:asciiTheme="majorHAnsi" w:hAnsiTheme="majorHAnsi" w:cstheme="majorHAnsi"/>
          <w:b/>
          <w:bCs/>
          <w:sz w:val="18"/>
          <w:szCs w:val="18"/>
        </w:rPr>
        <w:t>Introduction</w:t>
      </w:r>
      <w:proofErr w:type="spellEnd"/>
      <w:r w:rsidRPr="00A82E1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58B07935" w14:textId="2F3E3DBD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 xml:space="preserve">At </w:t>
      </w:r>
      <w:r w:rsidR="00145F18">
        <w:rPr>
          <w:rFonts w:asciiTheme="majorHAnsi" w:hAnsiTheme="majorHAnsi" w:cstheme="majorHAnsi"/>
          <w:sz w:val="18"/>
          <w:szCs w:val="18"/>
        </w:rPr>
        <w:t>İstor Kuyumculuk</w:t>
      </w:r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understand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integral role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working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environment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plays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success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sustainability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Occupational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(OHS)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serves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cornerstone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protecting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well-being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every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individual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associated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including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subcontractors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affiliates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reflects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proactive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management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emphasizing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prevention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education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526C498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B50AE18" w14:textId="77777777" w:rsidR="003C06F6" w:rsidRPr="00A82E13" w:rsidRDefault="003C06F6" w:rsidP="003C06F6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82E13">
        <w:rPr>
          <w:rFonts w:asciiTheme="majorHAnsi" w:hAnsiTheme="majorHAnsi" w:cstheme="majorHAnsi"/>
          <w:b/>
          <w:bCs/>
          <w:sz w:val="18"/>
          <w:szCs w:val="18"/>
        </w:rPr>
        <w:t>Our</w:t>
      </w:r>
      <w:proofErr w:type="spellEnd"/>
      <w:r w:rsidRPr="00A82E1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82E13">
        <w:rPr>
          <w:rFonts w:asciiTheme="majorHAnsi" w:hAnsiTheme="majorHAnsi" w:cstheme="majorHAnsi"/>
          <w:b/>
          <w:bCs/>
          <w:sz w:val="18"/>
          <w:szCs w:val="18"/>
        </w:rPr>
        <w:t>Mission</w:t>
      </w:r>
      <w:proofErr w:type="spellEnd"/>
      <w:r w:rsidRPr="00A82E1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2133B55F" w14:textId="240DDAF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alignment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mission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foster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sustainable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profitable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growth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r w:rsidR="00145F18">
        <w:rPr>
          <w:rFonts w:asciiTheme="majorHAnsi" w:hAnsiTheme="majorHAnsi" w:cstheme="majorHAnsi"/>
          <w:sz w:val="18"/>
          <w:szCs w:val="18"/>
        </w:rPr>
        <w:t>İstor Kuyumculuk</w:t>
      </w:r>
      <w:r w:rsidRPr="00420723">
        <w:rPr>
          <w:rFonts w:asciiTheme="majorHAnsi" w:hAnsiTheme="majorHAnsi" w:cstheme="majorHAnsi"/>
          <w:sz w:val="18"/>
          <w:szCs w:val="18"/>
        </w:rPr>
        <w:t xml:space="preserve"> has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pledged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integrate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Sustainable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Development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Goals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outlined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United Nations Global Compact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strategic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framework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key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component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pledge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unwavering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elevating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highest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possible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level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business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processes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harmonize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global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sustainability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objectives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believe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safeguarding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workforce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not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only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adhere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ethical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but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also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enhance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operational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efficiency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corporate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reputation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7C1D181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18F3374" w14:textId="77777777" w:rsidR="003C06F6" w:rsidRPr="00A82E13" w:rsidRDefault="003C06F6" w:rsidP="003C06F6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82E13">
        <w:rPr>
          <w:rFonts w:asciiTheme="majorHAnsi" w:hAnsiTheme="majorHAnsi" w:cstheme="majorHAnsi"/>
          <w:b/>
          <w:bCs/>
          <w:sz w:val="18"/>
          <w:szCs w:val="18"/>
        </w:rPr>
        <w:t>Core</w:t>
      </w:r>
      <w:proofErr w:type="spellEnd"/>
      <w:r w:rsidRPr="00A82E1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82E13">
        <w:rPr>
          <w:rFonts w:asciiTheme="majorHAnsi" w:hAnsiTheme="majorHAnsi" w:cstheme="majorHAnsi"/>
          <w:b/>
          <w:bCs/>
          <w:sz w:val="18"/>
          <w:szCs w:val="18"/>
        </w:rPr>
        <w:t>Commitments</w:t>
      </w:r>
      <w:proofErr w:type="spellEnd"/>
      <w:r w:rsidRPr="00A82E13">
        <w:rPr>
          <w:rFonts w:asciiTheme="majorHAnsi" w:hAnsiTheme="majorHAnsi" w:cstheme="majorHAnsi"/>
          <w:b/>
          <w:bCs/>
          <w:sz w:val="18"/>
          <w:szCs w:val="18"/>
        </w:rPr>
        <w:t xml:space="preserve"> of </w:t>
      </w:r>
      <w:proofErr w:type="spellStart"/>
      <w:r w:rsidRPr="00A82E13">
        <w:rPr>
          <w:rFonts w:asciiTheme="majorHAnsi" w:hAnsiTheme="majorHAnsi" w:cstheme="majorHAnsi"/>
          <w:b/>
          <w:bCs/>
          <w:sz w:val="18"/>
          <w:szCs w:val="18"/>
        </w:rPr>
        <w:t>Our</w:t>
      </w:r>
      <w:proofErr w:type="spellEnd"/>
      <w:r w:rsidRPr="00A82E1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82E13">
        <w:rPr>
          <w:rFonts w:asciiTheme="majorHAnsi" w:hAnsiTheme="majorHAnsi" w:cstheme="majorHAnsi"/>
          <w:b/>
          <w:bCs/>
          <w:sz w:val="18"/>
          <w:szCs w:val="18"/>
        </w:rPr>
        <w:t>Policy</w:t>
      </w:r>
      <w:proofErr w:type="spellEnd"/>
      <w:r w:rsidRPr="00A82E1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2DB5D111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Creating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Work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Environment: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devoted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constructing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maintaining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work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setting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free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hazards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implementing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rigorous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risk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assessments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protocols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aim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preemptively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address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potential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risks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thereby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fostering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culture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pervades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levels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organization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322508B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Striving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Zero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Accidents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vision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extends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beyond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mere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;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on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relentless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quest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eliminate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workplace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accidents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entirely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ambition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rooted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comprehensive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approach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includes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regular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training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adoption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best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fostering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culture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where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everyone’s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responsibility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678B665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Adherence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Group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Policies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guided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strict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adherence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framework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governing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occupational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as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well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internal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policies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designed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exceed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these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requirements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engage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regular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audits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reviews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identify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areas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1FFA08A0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landscape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occupational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is ever-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evolving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As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such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ongoing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assessment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enhancement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OHS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they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remain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forefront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innovations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5629A3FC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Employment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Cutting-Edge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Technology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leverage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latest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technological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advancements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monitor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manage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risks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effectively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From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stateof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>-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-art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equipment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sophisticated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data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analysis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tools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invest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technologies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empower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us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maintain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working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environment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1684EDCA" w14:textId="77777777" w:rsidR="003C06F6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Cultivating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Culture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recognize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true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requires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more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just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policies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procedures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; it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requires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cultural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shift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dedicated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embedding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awareness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DNA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organization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encouraging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active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participation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open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communication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matters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among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>.</w:t>
      </w:r>
    </w:p>
    <w:p w14:paraId="04A31FCD" w14:textId="77777777" w:rsidR="003C06F6" w:rsidRDefault="003C06F6" w:rsidP="003C06F6">
      <w:pPr>
        <w:rPr>
          <w:rFonts w:asciiTheme="majorHAnsi" w:hAnsiTheme="majorHAnsi" w:cstheme="majorHAnsi"/>
          <w:sz w:val="18"/>
          <w:szCs w:val="18"/>
        </w:rPr>
      </w:pPr>
    </w:p>
    <w:p w14:paraId="01079E8B" w14:textId="77777777" w:rsidR="003C06F6" w:rsidRPr="00A82E13" w:rsidRDefault="003C06F6" w:rsidP="003C06F6">
      <w:pPr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82E13">
        <w:rPr>
          <w:rFonts w:asciiTheme="majorHAnsi" w:hAnsiTheme="majorHAnsi" w:cstheme="majorHAnsi"/>
          <w:b/>
          <w:bCs/>
          <w:sz w:val="18"/>
          <w:szCs w:val="18"/>
        </w:rPr>
        <w:t>Implementation</w:t>
      </w:r>
      <w:proofErr w:type="spellEnd"/>
      <w:r w:rsidRPr="00A82E1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82E13">
        <w:rPr>
          <w:rFonts w:asciiTheme="majorHAnsi" w:hAnsiTheme="majorHAnsi" w:cstheme="majorHAnsi"/>
          <w:b/>
          <w:bCs/>
          <w:sz w:val="18"/>
          <w:szCs w:val="18"/>
        </w:rPr>
        <w:t>Principles</w:t>
      </w:r>
      <w:proofErr w:type="spellEnd"/>
      <w:r w:rsidRPr="00A82E13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1C59EE46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Upholding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International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rigorously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ensure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with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not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only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national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laws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but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also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international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agreements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relevant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occupational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legal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international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compliance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serves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foundation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OHS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strategy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116BA9D" w14:textId="10E907D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Aiming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Leadership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OHS: </w:t>
      </w:r>
      <w:r w:rsidR="00145F18">
        <w:rPr>
          <w:rFonts w:asciiTheme="majorHAnsi" w:hAnsiTheme="majorHAnsi" w:cstheme="majorHAnsi"/>
          <w:sz w:val="18"/>
          <w:szCs w:val="18"/>
        </w:rPr>
        <w:t>İstor Kuyumculuk</w:t>
      </w:r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aspires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be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recognized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as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leader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occupational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within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jewelry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industry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actively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seek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opportunities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share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knowledge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collaborate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initiatives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participate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forums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that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advance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OHS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excellence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2001ED72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Setting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Pursuing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Continuous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Improvement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Goals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set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ambitious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measurable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goals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improving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OHS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performance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develop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comprehensive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action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plans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achieve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them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progress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regularly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reviewed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reported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ensuring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transparency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accountability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efforts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04FEE677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Integrating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Best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policies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operations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informed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best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available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occupational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remain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abreast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global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developments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OHS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adapt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strategies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incorporate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these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advancements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1DC119C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>•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Promoting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Awareness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Engagement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committed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fostering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workplace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where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is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everyone’s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priority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Through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ongoing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education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training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communication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strive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enhance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awareness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encourage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proactive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participation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practices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among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stakeholders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329C7839" w14:textId="77777777" w:rsidR="003C06F6" w:rsidRPr="00420723" w:rsidRDefault="003C06F6" w:rsidP="003C06F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5A02BBE" w14:textId="2F69A473" w:rsidR="00562DE6" w:rsidRPr="00131B03" w:rsidRDefault="003C06F6" w:rsidP="00562DE6">
      <w:pPr>
        <w:rPr>
          <w:rFonts w:asciiTheme="majorHAnsi" w:hAnsiTheme="majorHAnsi" w:cstheme="majorHAnsi"/>
          <w:sz w:val="18"/>
          <w:szCs w:val="18"/>
        </w:rPr>
      </w:pPr>
      <w:r w:rsidRPr="00420723">
        <w:rPr>
          <w:rFonts w:asciiTheme="majorHAnsi" w:hAnsiTheme="majorHAnsi" w:cstheme="majorHAnsi"/>
          <w:sz w:val="18"/>
          <w:szCs w:val="18"/>
        </w:rPr>
        <w:t xml:space="preserve">As </w:t>
      </w:r>
      <w:r w:rsidR="00145F18">
        <w:rPr>
          <w:rFonts w:asciiTheme="majorHAnsi" w:hAnsiTheme="majorHAnsi" w:cstheme="majorHAnsi"/>
          <w:sz w:val="18"/>
          <w:szCs w:val="18"/>
        </w:rPr>
        <w:t>İstor Kuyumculuk</w:t>
      </w:r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hold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ourselves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highest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standards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occupational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comprehensive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underpins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commitment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creating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a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productive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workplace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for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all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By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implementing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this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policy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reaffirm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dedication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not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only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to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meeting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but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exceeding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expectations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our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employees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customers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the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wider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community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in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terms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of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health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and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420723">
        <w:rPr>
          <w:rFonts w:asciiTheme="majorHAnsi" w:hAnsiTheme="majorHAnsi" w:cstheme="majorHAnsi"/>
          <w:sz w:val="18"/>
          <w:szCs w:val="18"/>
        </w:rPr>
        <w:t>safety</w:t>
      </w:r>
      <w:proofErr w:type="spellEnd"/>
      <w:r w:rsidRPr="00420723">
        <w:rPr>
          <w:rFonts w:asciiTheme="majorHAnsi" w:hAnsiTheme="majorHAnsi" w:cstheme="majorHAnsi"/>
          <w:sz w:val="18"/>
          <w:szCs w:val="18"/>
        </w:rPr>
        <w:t>.</w:t>
      </w:r>
    </w:p>
    <w:p w14:paraId="3BB2336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E6A384E" w14:textId="77777777" w:rsidR="00562DE6" w:rsidRPr="00F827B2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3F4FFF0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6AA5700F" w14:textId="0B408AA6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p w14:paraId="67C8D1D4" w14:textId="77777777" w:rsidR="00562DE6" w:rsidRPr="0007329C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E269ED0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4AA76183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1254B12A" w14:textId="77777777" w:rsidR="00562DE6" w:rsidRPr="00F01972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01D96EB5" w14:textId="1B52D55A" w:rsidR="00F01972" w:rsidRPr="00562DE6" w:rsidRDefault="00F01972" w:rsidP="00562DE6">
      <w:pPr>
        <w:tabs>
          <w:tab w:val="left" w:pos="3056"/>
        </w:tabs>
        <w:rPr>
          <w:rFonts w:asciiTheme="majorHAnsi" w:hAnsiTheme="majorHAnsi" w:cstheme="majorHAnsi"/>
          <w:sz w:val="18"/>
          <w:szCs w:val="18"/>
        </w:rPr>
      </w:pPr>
    </w:p>
    <w:sectPr w:rsidR="00F01972" w:rsidRPr="00562DE6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125E" w14:textId="77777777" w:rsidR="00EB0C6F" w:rsidRDefault="00EB0C6F" w:rsidP="0007329C">
      <w:r>
        <w:separator/>
      </w:r>
    </w:p>
  </w:endnote>
  <w:endnote w:type="continuationSeparator" w:id="0">
    <w:p w14:paraId="67A896A9" w14:textId="77777777" w:rsidR="00EB0C6F" w:rsidRDefault="00EB0C6F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452BB" w14:textId="77777777" w:rsidR="00EB0C6F" w:rsidRDefault="00EB0C6F" w:rsidP="0007329C">
      <w:r>
        <w:separator/>
      </w:r>
    </w:p>
  </w:footnote>
  <w:footnote w:type="continuationSeparator" w:id="0">
    <w:p w14:paraId="7305FD80" w14:textId="77777777" w:rsidR="00EB0C6F" w:rsidRDefault="00EB0C6F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100E34A1" w:rsidR="001968D8" w:rsidRPr="0007329C" w:rsidRDefault="003C06F6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A245F6">
            <w:rPr>
              <w:rFonts w:asciiTheme="majorHAnsi" w:hAnsiTheme="majorHAnsi" w:cstheme="majorHAnsi"/>
            </w:rPr>
            <w:t xml:space="preserve">OCCUPATIONAL HEALTH AND SAFETY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0F9FAD2C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3C06F6">
            <w:rPr>
              <w:rFonts w:asciiTheme="majorHAnsi" w:hAnsiTheme="majorHAnsi" w:cstheme="majorHAnsi"/>
              <w:sz w:val="14"/>
              <w:szCs w:val="14"/>
            </w:rPr>
            <w:t>07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proofErr w:type="gram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="003C06F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-</w:t>
          </w:r>
          <w:proofErr w:type="gramEnd"/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4"/>
  </w:num>
  <w:num w:numId="2" w16cid:durableId="408888257">
    <w:abstractNumId w:val="2"/>
  </w:num>
  <w:num w:numId="3" w16cid:durableId="1223518397">
    <w:abstractNumId w:val="6"/>
  </w:num>
  <w:num w:numId="4" w16cid:durableId="1065640823">
    <w:abstractNumId w:val="5"/>
  </w:num>
  <w:num w:numId="5" w16cid:durableId="1626498018">
    <w:abstractNumId w:val="1"/>
  </w:num>
  <w:num w:numId="6" w16cid:durableId="2051109882">
    <w:abstractNumId w:val="3"/>
  </w:num>
  <w:num w:numId="7" w16cid:durableId="90650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26EE1"/>
    <w:rsid w:val="0004576D"/>
    <w:rsid w:val="00063EE0"/>
    <w:rsid w:val="0007329C"/>
    <w:rsid w:val="00074D2E"/>
    <w:rsid w:val="000A44AC"/>
    <w:rsid w:val="000C5C4A"/>
    <w:rsid w:val="0011236E"/>
    <w:rsid w:val="00131B03"/>
    <w:rsid w:val="00145F18"/>
    <w:rsid w:val="001576BD"/>
    <w:rsid w:val="001968D8"/>
    <w:rsid w:val="001A2168"/>
    <w:rsid w:val="00203864"/>
    <w:rsid w:val="00237B1B"/>
    <w:rsid w:val="0026204D"/>
    <w:rsid w:val="002E46AF"/>
    <w:rsid w:val="00301505"/>
    <w:rsid w:val="00322C30"/>
    <w:rsid w:val="00362F5C"/>
    <w:rsid w:val="0037789E"/>
    <w:rsid w:val="0039235B"/>
    <w:rsid w:val="003C06F6"/>
    <w:rsid w:val="003C1C2B"/>
    <w:rsid w:val="003D603D"/>
    <w:rsid w:val="004202A0"/>
    <w:rsid w:val="00424463"/>
    <w:rsid w:val="00451F6D"/>
    <w:rsid w:val="0047166D"/>
    <w:rsid w:val="004F14E9"/>
    <w:rsid w:val="00517297"/>
    <w:rsid w:val="005305D0"/>
    <w:rsid w:val="00562DE6"/>
    <w:rsid w:val="005A6E26"/>
    <w:rsid w:val="005E4821"/>
    <w:rsid w:val="005F4F79"/>
    <w:rsid w:val="00666413"/>
    <w:rsid w:val="00673FB8"/>
    <w:rsid w:val="006E01E5"/>
    <w:rsid w:val="006F3460"/>
    <w:rsid w:val="00702450"/>
    <w:rsid w:val="007053B5"/>
    <w:rsid w:val="00732468"/>
    <w:rsid w:val="0074208F"/>
    <w:rsid w:val="00750355"/>
    <w:rsid w:val="007C0F55"/>
    <w:rsid w:val="00817DAA"/>
    <w:rsid w:val="008E010A"/>
    <w:rsid w:val="00955E4D"/>
    <w:rsid w:val="00984549"/>
    <w:rsid w:val="00A15756"/>
    <w:rsid w:val="00AF1328"/>
    <w:rsid w:val="00B81961"/>
    <w:rsid w:val="00B87C1E"/>
    <w:rsid w:val="00B90A06"/>
    <w:rsid w:val="00BC5425"/>
    <w:rsid w:val="00BD1049"/>
    <w:rsid w:val="00C60122"/>
    <w:rsid w:val="00C94018"/>
    <w:rsid w:val="00CA2965"/>
    <w:rsid w:val="00D368EA"/>
    <w:rsid w:val="00DA1F75"/>
    <w:rsid w:val="00DC0E57"/>
    <w:rsid w:val="00E06C2A"/>
    <w:rsid w:val="00E47CED"/>
    <w:rsid w:val="00E55450"/>
    <w:rsid w:val="00EB0C6F"/>
    <w:rsid w:val="00EC7B89"/>
    <w:rsid w:val="00EF44D9"/>
    <w:rsid w:val="00F01972"/>
    <w:rsid w:val="00F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53</cp:revision>
  <dcterms:created xsi:type="dcterms:W3CDTF">2023-11-17T09:32:00Z</dcterms:created>
  <dcterms:modified xsi:type="dcterms:W3CDTF">2025-06-24T19:02:00Z</dcterms:modified>
</cp:coreProperties>
</file>