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ACFD" w14:textId="0182CC11" w:rsidR="00562DE6" w:rsidRDefault="00562DE6" w:rsidP="00562DE6">
      <w:pPr>
        <w:rPr>
          <w:rFonts w:asciiTheme="majorHAnsi" w:hAnsiTheme="majorHAnsi" w:cstheme="majorHAnsi"/>
          <w:sz w:val="18"/>
          <w:szCs w:val="18"/>
          <w:lang w:val="en-US"/>
        </w:rPr>
      </w:pPr>
      <w:r w:rsidRPr="00374AED">
        <w:rPr>
          <w:rFonts w:asciiTheme="majorHAnsi" w:hAnsiTheme="majorHAnsi" w:cstheme="majorHAnsi"/>
          <w:b/>
          <w:bCs/>
          <w:sz w:val="18"/>
          <w:szCs w:val="18"/>
          <w:lang w:val="en-US"/>
        </w:rPr>
        <w:t>Scope:</w:t>
      </w:r>
      <w:r w:rsidRPr="00D563B4">
        <w:rPr>
          <w:rFonts w:asciiTheme="majorHAnsi" w:hAnsiTheme="majorHAnsi" w:cstheme="majorHAnsi"/>
          <w:sz w:val="18"/>
          <w:szCs w:val="18"/>
          <w:lang w:val="en-US"/>
        </w:rPr>
        <w:t xml:space="preserve"> Model</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ng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Des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gn </w:t>
      </w:r>
      <w:r w:rsidR="00CD4B67">
        <w:rPr>
          <w:rFonts w:asciiTheme="majorHAnsi" w:hAnsiTheme="majorHAnsi" w:cstheme="majorHAnsi"/>
          <w:sz w:val="18"/>
          <w:szCs w:val="18"/>
          <w:lang w:val="en-US"/>
        </w:rPr>
        <w:t>o</w:t>
      </w:r>
      <w:r w:rsidRPr="00D563B4">
        <w:rPr>
          <w:rFonts w:asciiTheme="majorHAnsi" w:hAnsiTheme="majorHAnsi" w:cstheme="majorHAnsi"/>
          <w:sz w:val="18"/>
          <w:szCs w:val="18"/>
          <w:lang w:val="en-US"/>
        </w:rPr>
        <w:t xml:space="preserve">f Jewelry </w:t>
      </w:r>
      <w:r>
        <w:rPr>
          <w:rFonts w:asciiTheme="majorHAnsi" w:hAnsiTheme="majorHAnsi" w:cstheme="majorHAnsi"/>
          <w:sz w:val="18"/>
          <w:szCs w:val="18"/>
          <w:lang w:val="en-US"/>
        </w:rPr>
        <w:t>wi</w:t>
      </w:r>
      <w:r w:rsidRPr="00D563B4">
        <w:rPr>
          <w:rFonts w:asciiTheme="majorHAnsi" w:hAnsiTheme="majorHAnsi" w:cstheme="majorHAnsi"/>
          <w:sz w:val="18"/>
          <w:szCs w:val="18"/>
          <w:lang w:val="en-US"/>
        </w:rPr>
        <w:t>th Gold, 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lver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ous Metals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ous Stones (D</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amonds), Product</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on, Sale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Export</w:t>
      </w:r>
    </w:p>
    <w:p w14:paraId="0EB53483" w14:textId="77777777" w:rsidR="00562DE6" w:rsidRDefault="00562DE6" w:rsidP="00562DE6">
      <w:pPr>
        <w:rPr>
          <w:rFonts w:asciiTheme="majorHAnsi" w:hAnsiTheme="majorHAnsi" w:cstheme="majorHAnsi"/>
          <w:sz w:val="18"/>
          <w:szCs w:val="18"/>
          <w:lang w:val="en-US"/>
        </w:rPr>
      </w:pPr>
    </w:p>
    <w:p w14:paraId="58AC4DD2" w14:textId="462E002C"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Our compliance program is crafted to align with specific legal frameworks and their applicable secondary regulations, emphasizing a comprehensive approach to legal adherence and ethical conduct. At </w:t>
      </w:r>
      <w:proofErr w:type="spellStart"/>
      <w:r w:rsidR="00517297" w:rsidRPr="00517297">
        <w:rPr>
          <w:rFonts w:asciiTheme="majorHAnsi" w:hAnsiTheme="majorHAnsi" w:cstheme="majorHAnsi"/>
          <w:sz w:val="18"/>
          <w:szCs w:val="18"/>
          <w:lang w:val="en-US"/>
        </w:rPr>
        <w:t>İstor</w:t>
      </w:r>
      <w:proofErr w:type="spellEnd"/>
      <w:r w:rsidR="00517297" w:rsidRPr="00517297">
        <w:rPr>
          <w:rFonts w:asciiTheme="majorHAnsi" w:hAnsiTheme="majorHAnsi" w:cstheme="majorHAnsi"/>
          <w:sz w:val="18"/>
          <w:szCs w:val="18"/>
          <w:lang w:val="en-US"/>
        </w:rPr>
        <w:t xml:space="preserve"> </w:t>
      </w:r>
      <w:proofErr w:type="spellStart"/>
      <w:r w:rsidR="00517297" w:rsidRPr="00517297">
        <w:rPr>
          <w:rFonts w:asciiTheme="majorHAnsi" w:hAnsiTheme="majorHAnsi" w:cstheme="majorHAnsi"/>
          <w:sz w:val="18"/>
          <w:szCs w:val="18"/>
          <w:lang w:val="en-US"/>
        </w:rPr>
        <w:t>Kuyumculuk</w:t>
      </w:r>
      <w:proofErr w:type="spellEnd"/>
      <w:r w:rsidR="00517297" w:rsidRPr="00517297">
        <w:rPr>
          <w:rFonts w:asciiTheme="majorHAnsi" w:hAnsiTheme="majorHAnsi" w:cstheme="majorHAnsi"/>
          <w:sz w:val="18"/>
          <w:szCs w:val="18"/>
          <w:lang w:val="en-US"/>
        </w:rPr>
        <w:t xml:space="preserve"> </w:t>
      </w:r>
      <w:r w:rsidRPr="005C7D12">
        <w:rPr>
          <w:rFonts w:asciiTheme="majorHAnsi" w:hAnsiTheme="majorHAnsi" w:cstheme="majorHAnsi"/>
          <w:sz w:val="18"/>
          <w:szCs w:val="18"/>
          <w:lang w:val="en-US"/>
        </w:rPr>
        <w:t xml:space="preserve">we're dedicated to maintaining an unwavering commitment to the highest standards of compliance, including laws on the prevention of laundering proceeds of crime, combating terrorism financing, and preventing the financing of proliferation of weapons of mass destruction, as well as adhering to internationally recognized Customer Identification (KYC) policies. </w:t>
      </w:r>
    </w:p>
    <w:p w14:paraId="65324F06"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560E7BEF" w14:textId="278314A8" w:rsidR="00562DE6"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This document outlines </w:t>
      </w:r>
      <w:proofErr w:type="spellStart"/>
      <w:r w:rsidR="00517297" w:rsidRPr="00517297">
        <w:rPr>
          <w:rFonts w:asciiTheme="majorHAnsi" w:hAnsiTheme="majorHAnsi" w:cstheme="majorHAnsi"/>
          <w:sz w:val="18"/>
          <w:szCs w:val="18"/>
          <w:lang w:val="en-US"/>
        </w:rPr>
        <w:t>İstor</w:t>
      </w:r>
      <w:proofErr w:type="spellEnd"/>
      <w:r w:rsidR="00517297" w:rsidRPr="00517297">
        <w:rPr>
          <w:rFonts w:asciiTheme="majorHAnsi" w:hAnsiTheme="majorHAnsi" w:cstheme="majorHAnsi"/>
          <w:sz w:val="18"/>
          <w:szCs w:val="18"/>
          <w:lang w:val="en-US"/>
        </w:rPr>
        <w:t xml:space="preserve"> </w:t>
      </w:r>
      <w:proofErr w:type="spellStart"/>
      <w:r w:rsidR="00517297" w:rsidRPr="00517297">
        <w:rPr>
          <w:rFonts w:asciiTheme="majorHAnsi" w:hAnsiTheme="majorHAnsi" w:cstheme="majorHAnsi"/>
          <w:sz w:val="18"/>
          <w:szCs w:val="18"/>
          <w:lang w:val="en-US"/>
        </w:rPr>
        <w:t>Kuyumculuk</w:t>
      </w:r>
      <w:proofErr w:type="spellEnd"/>
      <w:r w:rsidR="00517297" w:rsidRPr="00517297">
        <w:rPr>
          <w:rFonts w:asciiTheme="majorHAnsi" w:hAnsiTheme="majorHAnsi" w:cstheme="majorHAnsi"/>
          <w:sz w:val="18"/>
          <w:szCs w:val="18"/>
          <w:lang w:val="en-US"/>
        </w:rPr>
        <w:t xml:space="preserve"> </w:t>
      </w:r>
      <w:r w:rsidRPr="005C7D12">
        <w:rPr>
          <w:rFonts w:asciiTheme="majorHAnsi" w:hAnsiTheme="majorHAnsi" w:cstheme="majorHAnsi"/>
          <w:sz w:val="18"/>
          <w:szCs w:val="18"/>
          <w:lang w:val="en-US"/>
        </w:rPr>
        <w:t xml:space="preserve">'s compliance program, aligned with the following legal frameworks and their applicable secondary regulations: </w:t>
      </w:r>
    </w:p>
    <w:p w14:paraId="40A1DD01" w14:textId="77777777" w:rsidR="00451F6D" w:rsidRPr="005C7D12" w:rsidRDefault="00451F6D" w:rsidP="00562DE6">
      <w:pPr>
        <w:rPr>
          <w:rFonts w:asciiTheme="majorHAnsi" w:hAnsiTheme="majorHAnsi" w:cstheme="majorHAnsi"/>
          <w:sz w:val="18"/>
          <w:szCs w:val="18"/>
          <w:lang w:val="en-US"/>
        </w:rPr>
      </w:pPr>
    </w:p>
    <w:p w14:paraId="04B5691A" w14:textId="77777777" w:rsidR="00562DE6" w:rsidRPr="00CA1585" w:rsidRDefault="00562DE6" w:rsidP="00562DE6">
      <w:pPr>
        <w:pStyle w:val="ListeParagraf"/>
        <w:numPr>
          <w:ilvl w:val="0"/>
          <w:numId w:val="7"/>
        </w:numPr>
        <w:rPr>
          <w:rFonts w:asciiTheme="majorHAnsi" w:hAnsiTheme="majorHAnsi" w:cstheme="majorHAnsi"/>
          <w:sz w:val="18"/>
          <w:szCs w:val="18"/>
          <w:lang w:val="en-US"/>
        </w:rPr>
      </w:pPr>
      <w:r w:rsidRPr="00CA1585">
        <w:rPr>
          <w:rFonts w:asciiTheme="majorHAnsi" w:hAnsiTheme="majorHAnsi" w:cstheme="majorHAnsi"/>
          <w:sz w:val="18"/>
          <w:szCs w:val="18"/>
          <w:lang w:val="en-US"/>
        </w:rPr>
        <w:t xml:space="preserve">Law No. 5549 on the Prevention of Laundering Proceeds of Crime </w:t>
      </w:r>
    </w:p>
    <w:p w14:paraId="3E8DC5CA" w14:textId="77777777" w:rsidR="00562DE6" w:rsidRPr="00CA1585" w:rsidRDefault="00562DE6" w:rsidP="00562DE6">
      <w:pPr>
        <w:pStyle w:val="ListeParagraf"/>
        <w:numPr>
          <w:ilvl w:val="0"/>
          <w:numId w:val="7"/>
        </w:numPr>
        <w:rPr>
          <w:rFonts w:asciiTheme="majorHAnsi" w:hAnsiTheme="majorHAnsi" w:cstheme="majorHAnsi"/>
          <w:sz w:val="18"/>
          <w:szCs w:val="18"/>
          <w:lang w:val="en-US"/>
        </w:rPr>
      </w:pPr>
      <w:r w:rsidRPr="00CA1585">
        <w:rPr>
          <w:rFonts w:asciiTheme="majorHAnsi" w:hAnsiTheme="majorHAnsi" w:cstheme="majorHAnsi"/>
          <w:sz w:val="18"/>
          <w:szCs w:val="18"/>
          <w:lang w:val="en-US"/>
        </w:rPr>
        <w:t xml:space="preserve">Law No. 6415 on the Prevention of Financing of Terrorism </w:t>
      </w:r>
    </w:p>
    <w:p w14:paraId="5FE9AAD3" w14:textId="77777777" w:rsidR="00562DE6" w:rsidRPr="00CA1585" w:rsidRDefault="00562DE6" w:rsidP="00562DE6">
      <w:pPr>
        <w:pStyle w:val="ListeParagraf"/>
        <w:numPr>
          <w:ilvl w:val="0"/>
          <w:numId w:val="7"/>
        </w:numPr>
        <w:rPr>
          <w:rFonts w:asciiTheme="majorHAnsi" w:hAnsiTheme="majorHAnsi" w:cstheme="majorHAnsi"/>
          <w:sz w:val="18"/>
          <w:szCs w:val="18"/>
          <w:lang w:val="en-US"/>
        </w:rPr>
      </w:pPr>
      <w:r w:rsidRPr="00CA1585">
        <w:rPr>
          <w:rFonts w:asciiTheme="majorHAnsi" w:hAnsiTheme="majorHAnsi" w:cstheme="majorHAnsi"/>
          <w:sz w:val="18"/>
          <w:szCs w:val="18"/>
          <w:lang w:val="en-US"/>
        </w:rPr>
        <w:t xml:space="preserve">Law No. 7262 on the Prevention of Financing the Proliferation of Weapons of Mass Destruction </w:t>
      </w:r>
    </w:p>
    <w:p w14:paraId="224B55B1" w14:textId="77777777" w:rsidR="00562DE6" w:rsidRPr="00CA1585" w:rsidRDefault="00562DE6" w:rsidP="00562DE6">
      <w:pPr>
        <w:pStyle w:val="ListeParagraf"/>
        <w:numPr>
          <w:ilvl w:val="0"/>
          <w:numId w:val="7"/>
        </w:numPr>
        <w:rPr>
          <w:rFonts w:asciiTheme="majorHAnsi" w:hAnsiTheme="majorHAnsi" w:cstheme="majorHAnsi"/>
          <w:sz w:val="18"/>
          <w:szCs w:val="18"/>
          <w:lang w:val="en-US"/>
        </w:rPr>
      </w:pPr>
      <w:r w:rsidRPr="00CA1585">
        <w:rPr>
          <w:rFonts w:asciiTheme="majorHAnsi" w:hAnsiTheme="majorHAnsi" w:cstheme="majorHAnsi"/>
          <w:sz w:val="18"/>
          <w:szCs w:val="18"/>
          <w:lang w:val="en-US"/>
        </w:rPr>
        <w:t xml:space="preserve">Customer Identification (KYC) Policy and related group procedures prepared in compliance with international standards. </w:t>
      </w:r>
    </w:p>
    <w:p w14:paraId="3F233680"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44EEA61D"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Risk-Based Approach Acknowledging that laundering and financing activities can manifest in various forms across different sectors, our compliance program adopts a risk-based approach. This methodology facilitates the identification and assessment of potential laundering risks specific to our field of operation, guiding the determination and implementation of effective methods to mitigate and control these risks. </w:t>
      </w:r>
    </w:p>
    <w:p w14:paraId="126789AB"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29192483" w14:textId="77777777" w:rsidR="00562DE6"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Implementation Procedures Key components of our compliance program include: </w:t>
      </w:r>
    </w:p>
    <w:p w14:paraId="7FF8D6F4" w14:textId="77777777" w:rsidR="00451F6D" w:rsidRPr="005C7D12" w:rsidRDefault="00451F6D" w:rsidP="00562DE6">
      <w:pPr>
        <w:rPr>
          <w:rFonts w:asciiTheme="majorHAnsi" w:hAnsiTheme="majorHAnsi" w:cstheme="majorHAnsi"/>
          <w:sz w:val="18"/>
          <w:szCs w:val="18"/>
          <w:lang w:val="en-US"/>
        </w:rPr>
      </w:pPr>
    </w:p>
    <w:p w14:paraId="449A82B1"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Policy and Procedure Development: Establishing corporate policies and procedures reflecting national risk assessments. </w:t>
      </w:r>
    </w:p>
    <w:p w14:paraId="7694969D"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Risk Management: Engaging in proactive risk management activities. </w:t>
      </w:r>
    </w:p>
    <w:p w14:paraId="3D630ED4"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Monitoring and Control: Implementing continuous monitoring and control measures. </w:t>
      </w:r>
    </w:p>
    <w:p w14:paraId="1C3CB65B"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Compliance Leadership: Appointing a compliance officer and establishing a dedicated compliance unit. </w:t>
      </w:r>
    </w:p>
    <w:p w14:paraId="602C84A4"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Training: Organizing regular training sessions for staff. </w:t>
      </w:r>
    </w:p>
    <w:p w14:paraId="26E981A3"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Internal Audits: Conducting comprehensive internal audits. </w:t>
      </w:r>
    </w:p>
    <w:p w14:paraId="671F1FEE"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Reporting and Record-Keeping: Fulfilling all reporting and record-keeping obligations. </w:t>
      </w:r>
    </w:p>
    <w:p w14:paraId="3018E5DF" w14:textId="77777777" w:rsidR="00562DE6" w:rsidRPr="005C7D12" w:rsidRDefault="00562DE6" w:rsidP="00562DE6">
      <w:pPr>
        <w:ind w:left="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Customer Due Diligence: Adhering to stringent KYC principles, including customer due diligence. </w:t>
      </w:r>
    </w:p>
    <w:p w14:paraId="463771E1"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Information Sharing: Facilitating the sharing of account and transaction information within the financial group. </w:t>
      </w:r>
    </w:p>
    <w:p w14:paraId="5818A4B8"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44741AD5"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Responsibility and Review </w:t>
      </w:r>
      <w:proofErr w:type="gramStart"/>
      <w:r w:rsidRPr="005C7D12">
        <w:rPr>
          <w:rFonts w:asciiTheme="majorHAnsi" w:hAnsiTheme="majorHAnsi" w:cstheme="majorHAnsi"/>
          <w:sz w:val="18"/>
          <w:szCs w:val="18"/>
          <w:lang w:val="en-US"/>
        </w:rPr>
        <w:t>The</w:t>
      </w:r>
      <w:proofErr w:type="gramEnd"/>
      <w:r w:rsidRPr="005C7D12">
        <w:rPr>
          <w:rFonts w:asciiTheme="majorHAnsi" w:hAnsiTheme="majorHAnsi" w:cstheme="majorHAnsi"/>
          <w:sz w:val="18"/>
          <w:szCs w:val="18"/>
          <w:lang w:val="en-US"/>
        </w:rPr>
        <w:t xml:space="preserve"> Board of Directors is ultimately responsible for the effective, adequate, and appropriate implementation of the compliance program. All staff members are obligated to adhere to the program's requirements. Our corporate policies and procedures are periodically reviewed, with any updates promptly communicated to staff members.</w:t>
      </w:r>
    </w:p>
    <w:p w14:paraId="35363E1D" w14:textId="77777777" w:rsidR="00562DE6" w:rsidRPr="005C7D12" w:rsidRDefault="00562DE6" w:rsidP="00562DE6">
      <w:pPr>
        <w:rPr>
          <w:rFonts w:asciiTheme="majorHAnsi" w:hAnsiTheme="majorHAnsi" w:cstheme="majorHAnsi"/>
          <w:sz w:val="18"/>
          <w:szCs w:val="18"/>
          <w:lang w:val="en-US"/>
        </w:rPr>
      </w:pPr>
    </w:p>
    <w:p w14:paraId="7CF9A51D"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Purpose The purpose of this directive is to ensure compliance with the framework for establishing </w:t>
      </w:r>
    </w:p>
    <w:p w14:paraId="10404DC9" w14:textId="59453EA6"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Regulatory Compliance standards in line with the "Procedures and Principles Regarding the Freezing of Assets and Removal of Such Decisions" regulations, as it pertains to </w:t>
      </w:r>
      <w:proofErr w:type="spellStart"/>
      <w:r w:rsidR="00673FB8" w:rsidRPr="00673FB8">
        <w:rPr>
          <w:rFonts w:asciiTheme="majorHAnsi" w:hAnsiTheme="majorHAnsi" w:cstheme="majorHAnsi"/>
          <w:sz w:val="18"/>
          <w:szCs w:val="18"/>
          <w:lang w:val="en-US"/>
        </w:rPr>
        <w:t>İstor</w:t>
      </w:r>
      <w:proofErr w:type="spellEnd"/>
      <w:r w:rsidR="00673FB8" w:rsidRPr="00673FB8">
        <w:rPr>
          <w:rFonts w:asciiTheme="majorHAnsi" w:hAnsiTheme="majorHAnsi" w:cstheme="majorHAnsi"/>
          <w:sz w:val="18"/>
          <w:szCs w:val="18"/>
          <w:lang w:val="en-US"/>
        </w:rPr>
        <w:t xml:space="preserve"> </w:t>
      </w:r>
      <w:proofErr w:type="spellStart"/>
      <w:r w:rsidR="00673FB8" w:rsidRPr="00673FB8">
        <w:rPr>
          <w:rFonts w:asciiTheme="majorHAnsi" w:hAnsiTheme="majorHAnsi" w:cstheme="majorHAnsi"/>
          <w:sz w:val="18"/>
          <w:szCs w:val="18"/>
          <w:lang w:val="en-US"/>
        </w:rPr>
        <w:t>Kuyumculuk</w:t>
      </w:r>
      <w:proofErr w:type="spellEnd"/>
      <w:r w:rsidR="00673FB8" w:rsidRPr="00673FB8">
        <w:rPr>
          <w:rFonts w:asciiTheme="majorHAnsi" w:hAnsiTheme="majorHAnsi" w:cstheme="majorHAnsi"/>
          <w:sz w:val="18"/>
          <w:szCs w:val="18"/>
          <w:lang w:val="en-US"/>
        </w:rPr>
        <w:t xml:space="preserve"> </w:t>
      </w:r>
      <w:r w:rsidRPr="005C7D12">
        <w:rPr>
          <w:rFonts w:asciiTheme="majorHAnsi" w:hAnsiTheme="majorHAnsi" w:cstheme="majorHAnsi"/>
          <w:sz w:val="18"/>
          <w:szCs w:val="18"/>
          <w:lang w:val="en-US"/>
        </w:rPr>
        <w:t>("</w:t>
      </w:r>
      <w:proofErr w:type="spellStart"/>
      <w:r w:rsidR="00673FB8" w:rsidRPr="00673FB8">
        <w:rPr>
          <w:rFonts w:asciiTheme="majorHAnsi" w:hAnsiTheme="majorHAnsi" w:cstheme="majorHAnsi"/>
          <w:sz w:val="18"/>
          <w:szCs w:val="18"/>
          <w:lang w:val="en-US"/>
        </w:rPr>
        <w:t>İstor</w:t>
      </w:r>
      <w:proofErr w:type="spellEnd"/>
      <w:r w:rsidRPr="005C7D12">
        <w:rPr>
          <w:rFonts w:asciiTheme="majorHAnsi" w:hAnsiTheme="majorHAnsi" w:cstheme="majorHAnsi"/>
          <w:sz w:val="18"/>
          <w:szCs w:val="18"/>
          <w:lang w:val="en-US"/>
        </w:rPr>
        <w:t xml:space="preserve">" or "the Company"). </w:t>
      </w:r>
    </w:p>
    <w:p w14:paraId="0DF4E26D"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069F313D"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Responsibility and Authority </w:t>
      </w:r>
    </w:p>
    <w:p w14:paraId="2430A922" w14:textId="77777777" w:rsidR="00562DE6" w:rsidRPr="008B1386" w:rsidRDefault="00562DE6" w:rsidP="00562DE6">
      <w:pPr>
        <w:rPr>
          <w:rFonts w:asciiTheme="majorHAnsi" w:hAnsiTheme="majorHAnsi" w:cstheme="majorHAnsi"/>
          <w:sz w:val="18"/>
          <w:szCs w:val="18"/>
          <w:lang w:val="en-US"/>
        </w:rPr>
      </w:pPr>
      <w:r w:rsidRPr="008B1386">
        <w:rPr>
          <w:rFonts w:asciiTheme="majorHAnsi" w:hAnsiTheme="majorHAnsi" w:cstheme="majorHAnsi"/>
          <w:sz w:val="18"/>
          <w:szCs w:val="18"/>
          <w:lang w:val="en-US"/>
        </w:rPr>
        <w:t xml:space="preserve">General Manager's Responsibility: The General Manager is responsible for the implementation of this directive. </w:t>
      </w:r>
    </w:p>
    <w:p w14:paraId="79D54B20"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Review and Update: The General Manager is responsible for the periodic review and updating of this directive to ensure compliance with current laws and regulations. </w:t>
      </w:r>
    </w:p>
    <w:p w14:paraId="06AFF94C"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Unit Managers and Employee Compliance: Relevant Unit Managers are responsible for ensuring all employees are fully informed about and comply with this directive. </w:t>
      </w:r>
    </w:p>
    <w:p w14:paraId="27FB9707"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 </w:t>
      </w:r>
    </w:p>
    <w:p w14:paraId="79DDA6C7" w14:textId="77777777" w:rsidR="00562DE6" w:rsidRPr="005C7D12" w:rsidRDefault="00562DE6" w:rsidP="00562DE6">
      <w:pPr>
        <w:rPr>
          <w:rFonts w:asciiTheme="majorHAnsi" w:hAnsiTheme="majorHAnsi" w:cstheme="majorHAnsi"/>
          <w:sz w:val="18"/>
          <w:szCs w:val="18"/>
          <w:lang w:val="en-US"/>
        </w:rPr>
      </w:pPr>
      <w:r w:rsidRPr="005C7D12">
        <w:rPr>
          <w:rFonts w:asciiTheme="majorHAnsi" w:hAnsiTheme="majorHAnsi" w:cstheme="majorHAnsi"/>
          <w:sz w:val="18"/>
          <w:szCs w:val="18"/>
          <w:lang w:val="en-US"/>
        </w:rPr>
        <w:t xml:space="preserve">Implementation In compliance with the fight against the financing of terrorism and the financing of the proliferation of weapons of mass destruction, the following procedures are implemented in line with the "Procedures and Principles Regarding the Freezing of Assets and Removal of Such Decisions": </w:t>
      </w:r>
    </w:p>
    <w:p w14:paraId="47542C2F"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Transaction Service Review: a) For ongoing precious metal sales transactions, precious metals are not delivered to the buyer if payment has been made. Furthermore, collected amounts, whether in cash or credit, are not refunded. b) For incomplete purchase transactions, precious metals not paid for but provided are not returned to the seller. </w:t>
      </w:r>
    </w:p>
    <w:p w14:paraId="032FE5B6"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lastRenderedPageBreak/>
        <w:t>•</w:t>
      </w:r>
      <w:r w:rsidRPr="005C7D12">
        <w:rPr>
          <w:rFonts w:asciiTheme="majorHAnsi" w:hAnsiTheme="majorHAnsi" w:cstheme="majorHAnsi"/>
          <w:sz w:val="18"/>
          <w:szCs w:val="18"/>
          <w:lang w:val="en-US"/>
        </w:rPr>
        <w:tab/>
        <w:t xml:space="preserve">BIST Precious Metals and Gemstones Market Transactions: If transactions involve the BIST Precious Metals and Gemstones Market, exchange authorities are immediately informed, and the assets of the relevant parties are frozen immediately. </w:t>
      </w:r>
    </w:p>
    <w:p w14:paraId="5F8C3A67"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Ministry Notifications: All notifications from the Ministry are responded to immediately upon completion of asset freezing operations and within a maximum of 7 days in the method they were received. </w:t>
      </w:r>
    </w:p>
    <w:p w14:paraId="21A95F9B"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Situations of Non-Existent or Unrecordable Assets: Individuals with no assets with us or whose assets cannot be recorded are reported to the Ministry with their identity information indicating their situation.</w:t>
      </w:r>
    </w:p>
    <w:p w14:paraId="79C59426" w14:textId="77777777" w:rsidR="00562DE6" w:rsidRPr="005C7D12"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 xml:space="preserve">Asset Freezing Decisions: Information of those with frozen assets is documented and reported to the Ministry. </w:t>
      </w:r>
    </w:p>
    <w:p w14:paraId="2BD163A7" w14:textId="77777777" w:rsidR="00562DE6" w:rsidRDefault="00562DE6" w:rsidP="00562DE6">
      <w:pPr>
        <w:ind w:left="1416" w:hanging="708"/>
        <w:rPr>
          <w:rFonts w:asciiTheme="majorHAnsi" w:hAnsiTheme="majorHAnsi" w:cstheme="majorHAnsi"/>
          <w:sz w:val="18"/>
          <w:szCs w:val="18"/>
          <w:lang w:val="en-US"/>
        </w:rPr>
      </w:pPr>
      <w:r w:rsidRPr="005C7D12">
        <w:rPr>
          <w:rFonts w:asciiTheme="majorHAnsi" w:hAnsiTheme="majorHAnsi" w:cstheme="majorHAnsi"/>
          <w:sz w:val="18"/>
          <w:szCs w:val="18"/>
          <w:lang w:val="en-US"/>
        </w:rPr>
        <w:t>•</w:t>
      </w:r>
      <w:r w:rsidRPr="005C7D12">
        <w:rPr>
          <w:rFonts w:asciiTheme="majorHAnsi" w:hAnsiTheme="majorHAnsi" w:cstheme="majorHAnsi"/>
          <w:sz w:val="18"/>
          <w:szCs w:val="18"/>
          <w:lang w:val="en-US"/>
        </w:rPr>
        <w:tab/>
        <w:t>Instructions for Lifting the Asset Freezing Decision: The operation conducted following the Ministry's instructions to lift the asset freezing decision is reported to the Ministry.</w:t>
      </w:r>
    </w:p>
    <w:p w14:paraId="1AE8BC3C" w14:textId="77777777" w:rsidR="00562DE6" w:rsidRDefault="00562DE6" w:rsidP="00562DE6">
      <w:pPr>
        <w:rPr>
          <w:rFonts w:asciiTheme="majorHAnsi" w:hAnsiTheme="majorHAnsi" w:cstheme="majorHAnsi"/>
          <w:sz w:val="18"/>
          <w:szCs w:val="18"/>
          <w:lang w:val="en-US"/>
        </w:rPr>
      </w:pPr>
    </w:p>
    <w:p w14:paraId="6D8A16F8" w14:textId="77777777" w:rsidR="00562DE6" w:rsidRDefault="00562DE6" w:rsidP="00562DE6">
      <w:pPr>
        <w:rPr>
          <w:rFonts w:asciiTheme="majorHAnsi" w:hAnsiTheme="majorHAnsi" w:cstheme="majorHAnsi"/>
          <w:sz w:val="18"/>
          <w:szCs w:val="18"/>
          <w:lang w:val="en-US"/>
        </w:rPr>
      </w:pPr>
    </w:p>
    <w:p w14:paraId="65A02BBE" w14:textId="77777777" w:rsidR="00562DE6" w:rsidRDefault="00562DE6" w:rsidP="00562DE6">
      <w:pPr>
        <w:rPr>
          <w:rFonts w:asciiTheme="majorHAnsi" w:hAnsiTheme="majorHAnsi" w:cstheme="majorHAnsi"/>
          <w:sz w:val="18"/>
          <w:szCs w:val="18"/>
          <w:lang w:val="en-US"/>
        </w:rPr>
      </w:pPr>
    </w:p>
    <w:p w14:paraId="4CBAF768" w14:textId="77777777" w:rsidR="00562DE6" w:rsidRDefault="00562DE6" w:rsidP="00562DE6">
      <w:pPr>
        <w:rPr>
          <w:rFonts w:asciiTheme="majorHAnsi" w:hAnsiTheme="majorHAnsi" w:cstheme="majorHAnsi"/>
          <w:sz w:val="18"/>
          <w:szCs w:val="18"/>
          <w:lang w:val="en-US"/>
        </w:rPr>
      </w:pPr>
    </w:p>
    <w:p w14:paraId="3BB23363" w14:textId="77777777" w:rsidR="00562DE6" w:rsidRDefault="00562DE6" w:rsidP="00562DE6">
      <w:pPr>
        <w:rPr>
          <w:rFonts w:asciiTheme="majorHAnsi" w:hAnsiTheme="majorHAnsi" w:cstheme="majorHAnsi"/>
          <w:sz w:val="18"/>
          <w:szCs w:val="18"/>
          <w:lang w:val="en-US"/>
        </w:rPr>
      </w:pPr>
    </w:p>
    <w:p w14:paraId="3E6A384E" w14:textId="77777777" w:rsidR="00562DE6" w:rsidRPr="00F827B2" w:rsidRDefault="00562DE6" w:rsidP="00562DE6">
      <w:pPr>
        <w:rPr>
          <w:rFonts w:asciiTheme="majorHAnsi" w:hAnsiTheme="majorHAnsi" w:cstheme="majorHAnsi"/>
          <w:sz w:val="18"/>
          <w:szCs w:val="18"/>
          <w:lang w:val="en-US"/>
        </w:rPr>
      </w:pPr>
    </w:p>
    <w:p w14:paraId="0BFECBED" w14:textId="77777777" w:rsidR="00562DE6" w:rsidRDefault="00562DE6" w:rsidP="00562DE6">
      <w:pPr>
        <w:rPr>
          <w:rFonts w:asciiTheme="majorHAnsi" w:hAnsiTheme="majorHAnsi" w:cstheme="majorHAnsi"/>
          <w:b/>
          <w:bCs/>
          <w:noProof/>
          <w:sz w:val="18"/>
          <w:szCs w:val="18"/>
        </w:rPr>
      </w:pPr>
      <w:r w:rsidRPr="00A2140E">
        <w:rPr>
          <w:rFonts w:asciiTheme="majorHAnsi" w:hAnsiTheme="majorHAnsi" w:cstheme="majorHAnsi"/>
          <w:b/>
          <w:bCs/>
          <w:noProof/>
          <w:sz w:val="18"/>
          <w:szCs w:val="18"/>
        </w:rPr>
        <mc:AlternateContent>
          <mc:Choice Requires="wps">
            <w:drawing>
              <wp:anchor distT="0" distB="0" distL="114300" distR="114300" simplePos="0" relativeHeight="251659264" behindDoc="0" locked="0" layoutInCell="1" allowOverlap="1" wp14:anchorId="3F8187B6" wp14:editId="674020EA">
                <wp:simplePos x="0" y="0"/>
                <wp:positionH relativeFrom="margin">
                  <wp:align>right</wp:align>
                </wp:positionH>
                <wp:positionV relativeFrom="paragraph">
                  <wp:posOffset>62715</wp:posOffset>
                </wp:positionV>
                <wp:extent cx="2432050" cy="889000"/>
                <wp:effectExtent l="0" t="0" r="25400" b="25400"/>
                <wp:wrapNone/>
                <wp:docPr id="862864787" name="Dikdörtgen 3"/>
                <wp:cNvGraphicFramePr/>
                <a:graphic xmlns:a="http://schemas.openxmlformats.org/drawingml/2006/main">
                  <a:graphicData uri="http://schemas.microsoft.com/office/word/2010/wordprocessingShape">
                    <wps:wsp>
                      <wps:cNvSpPr/>
                      <wps:spPr>
                        <a:xfrm>
                          <a:off x="0" y="0"/>
                          <a:ext cx="2432050" cy="889000"/>
                        </a:xfrm>
                        <a:prstGeom prst="rect">
                          <a:avLst/>
                        </a:prstGeom>
                        <a:no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3532" id="Dikdörtgen 3" o:spid="_x0000_s1026" style="position:absolute;margin-left:140.3pt;margin-top:4.95pt;width:191.5pt;height:70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" filled="f" strokecolor="#bfbfbf [2412]" strokeweight="1pt">
                <w10:wrap anchorx="margin"/>
              </v:rect>
            </w:pict>
          </mc:Fallback>
        </mc:AlternateContent>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p>
    <w:p w14:paraId="483B0BDF" w14:textId="77777777" w:rsidR="00982BAA" w:rsidRDefault="00982BAA" w:rsidP="00562DE6">
      <w:pPr>
        <w:rPr>
          <w:rFonts w:asciiTheme="majorHAnsi" w:hAnsiTheme="majorHAnsi" w:cstheme="majorHAnsi"/>
          <w:b/>
          <w:bCs/>
          <w:noProof/>
          <w:sz w:val="18"/>
          <w:szCs w:val="18"/>
        </w:rPr>
      </w:pPr>
    </w:p>
    <w:p w14:paraId="48E1F06E" w14:textId="597713AF" w:rsidR="00562DE6" w:rsidRPr="00F827B2" w:rsidRDefault="00562DE6" w:rsidP="00562DE6">
      <w:pPr>
        <w:rPr>
          <w:rFonts w:asciiTheme="majorHAnsi" w:hAnsiTheme="majorHAnsi" w:cstheme="majorHAnsi"/>
          <w:b/>
          <w:bCs/>
          <w:sz w:val="18"/>
          <w:szCs w:val="18"/>
        </w:rPr>
      </w:pPr>
      <w:r w:rsidRPr="003E32F2">
        <w:rPr>
          <w:rFonts w:asciiTheme="majorHAnsi" w:hAnsiTheme="majorHAnsi" w:cstheme="majorHAnsi"/>
          <w:b/>
          <w:bCs/>
          <w:noProof/>
          <w:sz w:val="18"/>
          <w:szCs w:val="18"/>
        </w:rPr>
        <w:t>APPROVED BY THE CEO AND THE BOARD OF DIRECTORS</w:t>
      </w:r>
    </w:p>
    <w:p w14:paraId="1ED181AE" w14:textId="77777777" w:rsidR="00562DE6" w:rsidRPr="00F827B2" w:rsidRDefault="00562DE6" w:rsidP="00562DE6">
      <w:pPr>
        <w:rPr>
          <w:rFonts w:asciiTheme="majorHAnsi" w:hAnsiTheme="majorHAnsi" w:cstheme="majorHAnsi"/>
          <w:b/>
          <w:bCs/>
          <w:sz w:val="18"/>
          <w:szCs w:val="18"/>
        </w:rPr>
      </w:pPr>
    </w:p>
    <w:p w14:paraId="5BF133D8" w14:textId="6153C4DD" w:rsidR="00562DE6" w:rsidRDefault="00562DE6" w:rsidP="00562DE6">
      <w:pPr>
        <w:rPr>
          <w:rFonts w:asciiTheme="majorHAnsi" w:hAnsiTheme="majorHAnsi" w:cstheme="majorHAnsi"/>
          <w:b/>
          <w:bCs/>
          <w:sz w:val="18"/>
          <w:szCs w:val="18"/>
        </w:rPr>
      </w:pPr>
      <w:r w:rsidRPr="00562DE6">
        <w:rPr>
          <w:rFonts w:asciiTheme="majorHAnsi" w:hAnsiTheme="majorHAnsi" w:cstheme="majorHAnsi"/>
          <w:b/>
          <w:bCs/>
          <w:sz w:val="18"/>
          <w:szCs w:val="18"/>
        </w:rPr>
        <w:t>İstor Kuyumculuk Sanayi ve Ticaret Anonim Şirketi</w:t>
      </w:r>
    </w:p>
    <w:p w14:paraId="4FAE0F86" w14:textId="77777777" w:rsidR="00562DE6" w:rsidRDefault="00562DE6" w:rsidP="00562DE6">
      <w:pPr>
        <w:rPr>
          <w:rFonts w:asciiTheme="majorHAnsi" w:hAnsiTheme="majorHAnsi" w:cstheme="majorHAnsi"/>
          <w:b/>
          <w:bCs/>
          <w:sz w:val="18"/>
          <w:szCs w:val="18"/>
        </w:rPr>
      </w:pPr>
    </w:p>
    <w:p w14:paraId="01C9C0C5" w14:textId="77777777" w:rsidR="00562DE6" w:rsidRDefault="00562DE6" w:rsidP="00562DE6">
      <w:pPr>
        <w:jc w:val="center"/>
        <w:rPr>
          <w:rFonts w:asciiTheme="majorHAnsi" w:hAnsiTheme="majorHAnsi" w:cstheme="majorHAnsi"/>
          <w:i/>
          <w:iCs/>
          <w:sz w:val="18"/>
          <w:szCs w:val="18"/>
        </w:rPr>
      </w:pPr>
    </w:p>
    <w:p w14:paraId="33F4FFF0" w14:textId="77777777" w:rsidR="00562DE6" w:rsidRDefault="00562DE6" w:rsidP="00562DE6">
      <w:pPr>
        <w:jc w:val="center"/>
        <w:rPr>
          <w:rFonts w:asciiTheme="majorHAnsi" w:hAnsiTheme="majorHAnsi" w:cstheme="majorHAnsi"/>
          <w:i/>
          <w:iCs/>
          <w:sz w:val="18"/>
          <w:szCs w:val="18"/>
        </w:rPr>
      </w:pPr>
    </w:p>
    <w:p w14:paraId="590B60C5" w14:textId="77777777" w:rsidR="00562DE6" w:rsidRDefault="00562DE6" w:rsidP="00562DE6">
      <w:pPr>
        <w:jc w:val="center"/>
        <w:rPr>
          <w:rFonts w:asciiTheme="majorHAnsi" w:hAnsiTheme="majorHAnsi" w:cstheme="majorHAnsi"/>
          <w:i/>
          <w:iCs/>
          <w:sz w:val="18"/>
          <w:szCs w:val="18"/>
        </w:rPr>
      </w:pPr>
    </w:p>
    <w:p w14:paraId="3776FBC4" w14:textId="77777777" w:rsidR="00562DE6" w:rsidRDefault="00562DE6" w:rsidP="00562DE6">
      <w:pPr>
        <w:rPr>
          <w:rFonts w:asciiTheme="majorHAnsi" w:hAnsiTheme="majorHAnsi" w:cstheme="majorHAnsi"/>
          <w:i/>
          <w:iCs/>
          <w:sz w:val="18"/>
          <w:szCs w:val="18"/>
        </w:rPr>
      </w:pPr>
    </w:p>
    <w:p w14:paraId="6AA5700F" w14:textId="0B408AA6" w:rsidR="00562DE6" w:rsidRDefault="00562DE6" w:rsidP="00562DE6">
      <w:pPr>
        <w:jc w:val="center"/>
        <w:rPr>
          <w:rFonts w:asciiTheme="majorHAnsi" w:hAnsiTheme="majorHAnsi" w:cstheme="majorHAnsi"/>
          <w:i/>
          <w:iCs/>
          <w:sz w:val="18"/>
          <w:szCs w:val="18"/>
        </w:rPr>
      </w:pPr>
      <w:r w:rsidRPr="003E32F2">
        <w:rPr>
          <w:rFonts w:asciiTheme="majorHAnsi" w:hAnsiTheme="majorHAnsi" w:cstheme="majorHAnsi"/>
          <w:i/>
          <w:iCs/>
          <w:sz w:val="18"/>
          <w:szCs w:val="18"/>
        </w:rPr>
        <w:t xml:space="preserve">PREPARED AND APPROVED BY </w:t>
      </w:r>
      <w:r w:rsidRPr="00562DE6">
        <w:rPr>
          <w:rFonts w:asciiTheme="majorHAnsi" w:hAnsiTheme="majorHAnsi" w:cstheme="majorHAnsi"/>
          <w:i/>
          <w:iCs/>
          <w:sz w:val="18"/>
          <w:szCs w:val="18"/>
        </w:rPr>
        <w:t>İSTOR KUYUMCULUK</w:t>
      </w:r>
      <w:r>
        <w:rPr>
          <w:rFonts w:asciiTheme="majorHAnsi" w:hAnsiTheme="majorHAnsi" w:cstheme="majorHAnsi"/>
          <w:i/>
          <w:iCs/>
          <w:sz w:val="18"/>
          <w:szCs w:val="18"/>
        </w:rPr>
        <w:t xml:space="preserve"> </w:t>
      </w:r>
      <w:r w:rsidRPr="003E32F2">
        <w:rPr>
          <w:rFonts w:asciiTheme="majorHAnsi" w:hAnsiTheme="majorHAnsi" w:cstheme="majorHAnsi"/>
          <w:i/>
          <w:iCs/>
          <w:sz w:val="18"/>
          <w:szCs w:val="18"/>
        </w:rPr>
        <w:t>BOARD OF DIRECTORS</w:t>
      </w:r>
    </w:p>
    <w:p w14:paraId="67C8D1D4" w14:textId="77777777" w:rsidR="00562DE6" w:rsidRPr="0007329C" w:rsidRDefault="00562DE6" w:rsidP="00562DE6">
      <w:pPr>
        <w:rPr>
          <w:rFonts w:asciiTheme="majorHAnsi" w:hAnsiTheme="majorHAnsi" w:cstheme="majorHAnsi"/>
          <w:sz w:val="18"/>
          <w:szCs w:val="18"/>
        </w:rPr>
      </w:pPr>
    </w:p>
    <w:p w14:paraId="1E269ED0" w14:textId="77777777" w:rsidR="00562DE6" w:rsidRDefault="00562DE6" w:rsidP="00562DE6">
      <w:pPr>
        <w:rPr>
          <w:rFonts w:asciiTheme="majorHAnsi" w:hAnsiTheme="majorHAnsi" w:cstheme="majorHAnsi"/>
          <w:sz w:val="18"/>
          <w:szCs w:val="18"/>
        </w:rPr>
      </w:pPr>
    </w:p>
    <w:p w14:paraId="4AA76183" w14:textId="77777777" w:rsidR="00562DE6" w:rsidRPr="00F01972" w:rsidRDefault="00562DE6" w:rsidP="00562DE6">
      <w:pPr>
        <w:rPr>
          <w:rFonts w:asciiTheme="majorHAnsi" w:hAnsiTheme="majorHAnsi" w:cstheme="majorHAnsi"/>
          <w:sz w:val="18"/>
          <w:szCs w:val="18"/>
        </w:rPr>
      </w:pPr>
    </w:p>
    <w:p w14:paraId="1254B12A" w14:textId="77777777" w:rsidR="00562DE6" w:rsidRPr="00F01972" w:rsidRDefault="00562DE6" w:rsidP="00562DE6">
      <w:pPr>
        <w:rPr>
          <w:rFonts w:asciiTheme="majorHAnsi" w:hAnsiTheme="majorHAnsi" w:cstheme="majorHAnsi"/>
          <w:sz w:val="18"/>
          <w:szCs w:val="18"/>
        </w:rPr>
      </w:pPr>
    </w:p>
    <w:p w14:paraId="01D96EB5" w14:textId="1B52D55A" w:rsidR="00F01972" w:rsidRPr="00562DE6" w:rsidRDefault="00F01972" w:rsidP="00562DE6">
      <w:pPr>
        <w:tabs>
          <w:tab w:val="left" w:pos="3056"/>
        </w:tabs>
        <w:rPr>
          <w:rFonts w:asciiTheme="majorHAnsi" w:hAnsiTheme="majorHAnsi" w:cstheme="majorHAnsi"/>
          <w:sz w:val="18"/>
          <w:szCs w:val="18"/>
        </w:rPr>
      </w:pPr>
    </w:p>
    <w:sectPr w:rsidR="00F01972" w:rsidRPr="00562DE6" w:rsidSect="006E01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62" w:gutter="0"/>
      <w:pgBorders w:offsetFrom="page">
        <w:top w:val="single" w:sz="18" w:space="24" w:color="D9D4C7" w:themeColor="accent5" w:themeTint="66"/>
        <w:left w:val="single" w:sz="18" w:space="24" w:color="D9D4C7" w:themeColor="accent5" w:themeTint="66"/>
        <w:bottom w:val="single" w:sz="18" w:space="24" w:color="D9D4C7" w:themeColor="accent5" w:themeTint="66"/>
        <w:right w:val="single" w:sz="18" w:space="24" w:color="D9D4C7" w:themeColor="accent5"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7F7C" w14:textId="77777777" w:rsidR="00105D00" w:rsidRDefault="00105D00" w:rsidP="0007329C">
      <w:r>
        <w:separator/>
      </w:r>
    </w:p>
  </w:endnote>
  <w:endnote w:type="continuationSeparator" w:id="0">
    <w:p w14:paraId="1C92A02A" w14:textId="77777777" w:rsidR="00105D00" w:rsidRDefault="00105D00" w:rsidP="0007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B427" w14:textId="77777777" w:rsidR="00B32CA7" w:rsidRDefault="00B32C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5EEB" w14:textId="77777777" w:rsidR="00B32CA7" w:rsidRDefault="00B32C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90" w14:textId="77777777" w:rsidR="00B32CA7" w:rsidRDefault="00B32C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4876" w14:textId="77777777" w:rsidR="00105D00" w:rsidRDefault="00105D00" w:rsidP="0007329C">
      <w:r>
        <w:separator/>
      </w:r>
    </w:p>
  </w:footnote>
  <w:footnote w:type="continuationSeparator" w:id="0">
    <w:p w14:paraId="23F9D7F2" w14:textId="77777777" w:rsidR="00105D00" w:rsidRDefault="00105D00" w:rsidP="0007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2FD" w14:textId="77777777" w:rsidR="00B32CA7" w:rsidRDefault="00B32C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466"/>
      <w:gridCol w:w="3857"/>
      <w:gridCol w:w="2749"/>
    </w:tblGrid>
    <w:tr w:rsidR="00702450" w:rsidRPr="0007329C" w14:paraId="7531FBBF" w14:textId="77777777" w:rsidTr="004202A0">
      <w:trPr>
        <w:trHeight w:val="1134"/>
      </w:trPr>
      <w:tc>
        <w:tcPr>
          <w:tcW w:w="2466" w:type="dxa"/>
          <w:tcBorders>
            <w:top w:val="nil"/>
            <w:left w:val="nil"/>
            <w:bottom w:val="nil"/>
            <w:right w:val="nil"/>
          </w:tcBorders>
          <w:vAlign w:val="center"/>
        </w:tcPr>
        <w:p w14:paraId="40838DD2" w14:textId="6B4DF3DB" w:rsidR="0007329C" w:rsidRPr="00B87C1E" w:rsidRDefault="00702450" w:rsidP="00B87C1E">
          <w:pPr>
            <w:pStyle w:val="stBilgi"/>
            <w:rPr>
              <w:rFonts w:ascii="Tahoma" w:hAnsi="Tahoma" w:cs="Tahoma"/>
              <w:noProof/>
              <w:sz w:val="20"/>
              <w:szCs w:val="20"/>
            </w:rPr>
          </w:pPr>
          <w:r>
            <w:rPr>
              <w:rFonts w:ascii="Tahoma" w:hAnsi="Tahoma" w:cs="Tahoma"/>
              <w:noProof/>
              <w:sz w:val="20"/>
              <w:szCs w:val="20"/>
            </w:rPr>
            <w:drawing>
              <wp:inline distT="0" distB="0" distL="0" distR="0" wp14:anchorId="289107E7" wp14:editId="4F64C36A">
                <wp:extent cx="1428750" cy="725557"/>
                <wp:effectExtent l="0" t="0" r="0" b="0"/>
                <wp:docPr id="1093383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3475" name="Resim 1093383475"/>
                        <pic:cNvPicPr/>
                      </pic:nvPicPr>
                      <pic:blipFill>
                        <a:blip r:embed="rId1">
                          <a:extLst>
                            <a:ext uri="{28A0092B-C50C-407E-A947-70E740481C1C}">
                              <a14:useLocalDpi xmlns:a14="http://schemas.microsoft.com/office/drawing/2010/main" val="0"/>
                            </a:ext>
                          </a:extLst>
                        </a:blip>
                        <a:stretch>
                          <a:fillRect/>
                        </a:stretch>
                      </pic:blipFill>
                      <pic:spPr>
                        <a:xfrm>
                          <a:off x="0" y="0"/>
                          <a:ext cx="1517984" cy="770872"/>
                        </a:xfrm>
                        <a:prstGeom prst="rect">
                          <a:avLst/>
                        </a:prstGeom>
                      </pic:spPr>
                    </pic:pic>
                  </a:graphicData>
                </a:graphic>
              </wp:inline>
            </w:drawing>
          </w:r>
        </w:p>
      </w:tc>
      <w:tc>
        <w:tcPr>
          <w:tcW w:w="6606" w:type="dxa"/>
          <w:gridSpan w:val="2"/>
          <w:tcBorders>
            <w:top w:val="nil"/>
            <w:left w:val="nil"/>
            <w:bottom w:val="nil"/>
            <w:right w:val="nil"/>
          </w:tcBorders>
          <w:shd w:val="clear" w:color="auto" w:fill="D9D4C7" w:themeFill="accent5" w:themeFillTint="66"/>
          <w:vAlign w:val="center"/>
        </w:tcPr>
        <w:p w14:paraId="29B3E3AC" w14:textId="0FF9BC3A" w:rsidR="001968D8" w:rsidRPr="0007329C" w:rsidRDefault="004202A0" w:rsidP="004202A0">
          <w:pPr>
            <w:pStyle w:val="stBilgi"/>
            <w:jc w:val="center"/>
            <w:rPr>
              <w:rFonts w:asciiTheme="majorHAnsi" w:hAnsiTheme="majorHAnsi" w:cstheme="majorHAnsi"/>
            </w:rPr>
          </w:pPr>
          <w:r>
            <w:rPr>
              <w:rFonts w:asciiTheme="majorHAnsi" w:hAnsiTheme="majorHAnsi" w:cstheme="majorHAnsi"/>
              <w:lang w:val="en-US"/>
            </w:rPr>
            <w:t>AML – KYC</w:t>
          </w:r>
          <w:r w:rsidRPr="003E32F2">
            <w:rPr>
              <w:rFonts w:asciiTheme="majorHAnsi" w:hAnsiTheme="majorHAnsi" w:cstheme="majorHAnsi"/>
              <w:lang w:val="en-US"/>
            </w:rPr>
            <w:t xml:space="preserve"> POLICY</w:t>
          </w:r>
        </w:p>
      </w:tc>
    </w:tr>
    <w:tr w:rsidR="004202A0" w:rsidRPr="0007329C" w14:paraId="5615EC47" w14:textId="77777777" w:rsidTr="004202A0">
      <w:trPr>
        <w:trHeight w:val="283"/>
      </w:trPr>
      <w:tc>
        <w:tcPr>
          <w:tcW w:w="6323" w:type="dxa"/>
          <w:gridSpan w:val="2"/>
          <w:tcBorders>
            <w:top w:val="nil"/>
            <w:left w:val="nil"/>
            <w:bottom w:val="nil"/>
            <w:right w:val="nil"/>
          </w:tcBorders>
          <w:shd w:val="clear" w:color="auto" w:fill="ECE9E3" w:themeFill="accent5" w:themeFillTint="33"/>
          <w:vAlign w:val="center"/>
        </w:tcPr>
        <w:p w14:paraId="508D8030" w14:textId="79CF40A9" w:rsidR="004202A0" w:rsidRPr="0037789E" w:rsidRDefault="004202A0" w:rsidP="004202A0">
          <w:pPr>
            <w:pStyle w:val="stBilgi"/>
            <w:rPr>
              <w:rFonts w:asciiTheme="majorHAnsi" w:hAnsiTheme="majorHAnsi" w:cstheme="majorHAnsi"/>
              <w:sz w:val="14"/>
              <w:szCs w:val="14"/>
            </w:rPr>
          </w:pPr>
          <w:r>
            <w:rPr>
              <w:rFonts w:asciiTheme="majorHAnsi" w:hAnsiTheme="majorHAnsi" w:cstheme="majorHAnsi"/>
              <w:sz w:val="14"/>
              <w:szCs w:val="14"/>
            </w:rPr>
            <w:t>PL</w:t>
          </w:r>
          <w:r w:rsidRPr="007F3106">
            <w:rPr>
              <w:rFonts w:asciiTheme="majorHAnsi" w:hAnsiTheme="majorHAnsi" w:cstheme="majorHAnsi"/>
              <w:sz w:val="14"/>
              <w:szCs w:val="14"/>
            </w:rPr>
            <w:t>.</w:t>
          </w:r>
          <w:r>
            <w:rPr>
              <w:rFonts w:asciiTheme="majorHAnsi" w:hAnsiTheme="majorHAnsi" w:cstheme="majorHAnsi"/>
              <w:sz w:val="14"/>
              <w:szCs w:val="14"/>
            </w:rPr>
            <w:t>01</w:t>
          </w:r>
          <w:r w:rsidRPr="007F3106">
            <w:rPr>
              <w:rFonts w:asciiTheme="majorHAnsi" w:hAnsiTheme="majorHAnsi" w:cstheme="majorHAnsi"/>
              <w:sz w:val="14"/>
              <w:szCs w:val="14"/>
            </w:rPr>
            <w:t xml:space="preserve"> | </w:t>
          </w:r>
          <w:proofErr w:type="spellStart"/>
          <w:r>
            <w:rPr>
              <w:rFonts w:asciiTheme="majorHAnsi" w:hAnsiTheme="majorHAnsi" w:cstheme="majorHAnsi"/>
              <w:sz w:val="14"/>
              <w:szCs w:val="14"/>
            </w:rPr>
            <w:t>Issue</w:t>
          </w:r>
          <w:proofErr w:type="spellEnd"/>
          <w:r>
            <w:rPr>
              <w:rFonts w:asciiTheme="majorHAnsi" w:hAnsiTheme="majorHAnsi" w:cstheme="majorHAnsi"/>
              <w:sz w:val="14"/>
              <w:szCs w:val="14"/>
            </w:rPr>
            <w:t xml:space="preserve"> </w:t>
          </w:r>
          <w:proofErr w:type="spellStart"/>
          <w:r>
            <w:rPr>
              <w:rFonts w:asciiTheme="majorHAnsi" w:hAnsiTheme="majorHAnsi" w:cstheme="majorHAnsi"/>
              <w:sz w:val="14"/>
              <w:szCs w:val="14"/>
            </w:rPr>
            <w:t>Date</w:t>
          </w:r>
          <w:proofErr w:type="spellEnd"/>
          <w:r w:rsidRPr="00031EDE">
            <w:rPr>
              <w:rFonts w:asciiTheme="majorHAnsi" w:hAnsiTheme="majorHAnsi" w:cstheme="majorHAnsi"/>
              <w:sz w:val="14"/>
              <w:szCs w:val="14"/>
            </w:rPr>
            <w:t>:</w:t>
          </w:r>
          <w:r w:rsidRPr="007F3106">
            <w:rPr>
              <w:rFonts w:asciiTheme="majorHAnsi" w:hAnsiTheme="majorHAnsi" w:cstheme="majorHAnsi"/>
              <w:sz w:val="14"/>
              <w:szCs w:val="14"/>
            </w:rPr>
            <w:t xml:space="preserve"> </w:t>
          </w:r>
          <w:r>
            <w:rPr>
              <w:rFonts w:asciiTheme="majorHAnsi" w:hAnsiTheme="majorHAnsi" w:cstheme="majorHAnsi"/>
              <w:sz w:val="14"/>
              <w:szCs w:val="14"/>
            </w:rPr>
            <w:t>03.01</w:t>
          </w:r>
          <w:r w:rsidRPr="007F3106">
            <w:rPr>
              <w:rFonts w:asciiTheme="majorHAnsi" w:hAnsiTheme="majorHAnsi" w:cstheme="majorHAnsi"/>
              <w:sz w:val="14"/>
              <w:szCs w:val="14"/>
            </w:rPr>
            <w:t>.202</w:t>
          </w:r>
          <w:r>
            <w:rPr>
              <w:rFonts w:asciiTheme="majorHAnsi" w:hAnsiTheme="majorHAnsi" w:cstheme="majorHAnsi"/>
              <w:sz w:val="14"/>
              <w:szCs w:val="14"/>
            </w:rPr>
            <w:t>5</w:t>
          </w:r>
          <w:r w:rsidRPr="007F3106">
            <w:rPr>
              <w:rFonts w:asciiTheme="majorHAnsi" w:hAnsiTheme="majorHAnsi" w:cstheme="majorHAnsi"/>
              <w:sz w:val="14"/>
              <w:szCs w:val="14"/>
            </w:rPr>
            <w:t xml:space="preserve"> | R.00 | </w:t>
          </w:r>
          <w:proofErr w:type="spellStart"/>
          <w:r>
            <w:rPr>
              <w:rFonts w:asciiTheme="majorHAnsi" w:hAnsiTheme="majorHAnsi" w:cstheme="majorHAnsi"/>
              <w:sz w:val="14"/>
              <w:szCs w:val="14"/>
            </w:rPr>
            <w:t>Revision</w:t>
          </w:r>
          <w:proofErr w:type="spellEnd"/>
          <w:r>
            <w:rPr>
              <w:rFonts w:asciiTheme="majorHAnsi" w:hAnsiTheme="majorHAnsi" w:cstheme="majorHAnsi"/>
              <w:sz w:val="14"/>
              <w:szCs w:val="14"/>
            </w:rPr>
            <w:t xml:space="preserve"> </w:t>
          </w:r>
          <w:proofErr w:type="spellStart"/>
          <w:proofErr w:type="gramStart"/>
          <w:r>
            <w:rPr>
              <w:rFonts w:asciiTheme="majorHAnsi" w:hAnsiTheme="majorHAnsi" w:cstheme="majorHAnsi"/>
              <w:sz w:val="14"/>
              <w:szCs w:val="14"/>
            </w:rPr>
            <w:t>Date</w:t>
          </w:r>
          <w:proofErr w:type="spellEnd"/>
          <w:r w:rsidRPr="00031EDE">
            <w:rPr>
              <w:rFonts w:asciiTheme="majorHAnsi" w:hAnsiTheme="majorHAnsi" w:cstheme="majorHAnsi"/>
              <w:sz w:val="14"/>
              <w:szCs w:val="14"/>
            </w:rPr>
            <w:t>:</w:t>
          </w:r>
          <w:r w:rsidR="00B32CA7">
            <w:rPr>
              <w:rFonts w:asciiTheme="majorHAnsi" w:hAnsiTheme="majorHAnsi" w:cstheme="majorHAnsi"/>
              <w:sz w:val="14"/>
              <w:szCs w:val="14"/>
            </w:rPr>
            <w:t xml:space="preserve"> </w:t>
          </w:r>
          <w:r w:rsidRPr="007F3106">
            <w:rPr>
              <w:rFonts w:asciiTheme="majorHAnsi" w:hAnsiTheme="majorHAnsi" w:cstheme="majorHAnsi"/>
              <w:sz w:val="14"/>
              <w:szCs w:val="14"/>
            </w:rPr>
            <w:t xml:space="preserve"> -</w:t>
          </w:r>
          <w:proofErr w:type="gramEnd"/>
          <w:r>
            <w:rPr>
              <w:rFonts w:asciiTheme="majorHAnsi" w:hAnsiTheme="majorHAnsi" w:cstheme="majorHAnsi"/>
              <w:sz w:val="14"/>
              <w:szCs w:val="14"/>
            </w:rPr>
            <w:t xml:space="preserve"> | </w:t>
          </w:r>
          <w:proofErr w:type="spellStart"/>
          <w:r w:rsidRPr="00551F8C">
            <w:rPr>
              <w:rFonts w:asciiTheme="majorHAnsi" w:hAnsiTheme="majorHAnsi" w:cstheme="majorHAnsi"/>
              <w:sz w:val="14"/>
              <w:szCs w:val="14"/>
            </w:rPr>
            <w:t>Review</w:t>
          </w:r>
          <w:proofErr w:type="spellEnd"/>
          <w:r w:rsidRPr="00551F8C">
            <w:rPr>
              <w:rFonts w:asciiTheme="majorHAnsi" w:hAnsiTheme="majorHAnsi" w:cstheme="majorHAnsi"/>
              <w:sz w:val="14"/>
              <w:szCs w:val="14"/>
            </w:rPr>
            <w:t xml:space="preserve"> </w:t>
          </w:r>
          <w:proofErr w:type="spellStart"/>
          <w:r w:rsidRPr="00551F8C">
            <w:rPr>
              <w:rFonts w:asciiTheme="majorHAnsi" w:hAnsiTheme="majorHAnsi" w:cstheme="majorHAnsi"/>
              <w:sz w:val="14"/>
              <w:szCs w:val="14"/>
            </w:rPr>
            <w:t>Date</w:t>
          </w:r>
          <w:proofErr w:type="spellEnd"/>
          <w:r>
            <w:rPr>
              <w:rFonts w:asciiTheme="majorHAnsi" w:hAnsiTheme="majorHAnsi" w:cstheme="majorHAnsi"/>
              <w:sz w:val="14"/>
              <w:szCs w:val="14"/>
            </w:rPr>
            <w:t>: 02.06.2025</w:t>
          </w:r>
        </w:p>
      </w:tc>
      <w:tc>
        <w:tcPr>
          <w:tcW w:w="2749" w:type="dxa"/>
          <w:tcBorders>
            <w:top w:val="nil"/>
            <w:left w:val="nil"/>
            <w:bottom w:val="nil"/>
            <w:right w:val="nil"/>
          </w:tcBorders>
          <w:shd w:val="clear" w:color="auto" w:fill="ECE9E3" w:themeFill="accent5" w:themeFillTint="33"/>
          <w:vAlign w:val="center"/>
        </w:tcPr>
        <w:p w14:paraId="1993CC6B" w14:textId="2C8DAAE4" w:rsidR="004202A0" w:rsidRPr="0037789E" w:rsidRDefault="004202A0" w:rsidP="004202A0">
          <w:pPr>
            <w:pStyle w:val="stBilgi"/>
            <w:jc w:val="right"/>
            <w:rPr>
              <w:rFonts w:asciiTheme="majorHAnsi" w:hAnsiTheme="majorHAnsi" w:cstheme="majorHAnsi"/>
              <w:sz w:val="14"/>
              <w:szCs w:val="14"/>
            </w:rPr>
          </w:pPr>
          <w:proofErr w:type="spellStart"/>
          <w:r>
            <w:rPr>
              <w:rFonts w:asciiTheme="majorHAnsi" w:hAnsiTheme="majorHAnsi" w:cstheme="majorHAnsi"/>
              <w:kern w:val="0"/>
              <w:sz w:val="14"/>
              <w:szCs w:val="14"/>
            </w:rPr>
            <w:t>Page</w:t>
          </w:r>
          <w:proofErr w:type="spellEnd"/>
          <w:r w:rsidRPr="0037789E">
            <w:rPr>
              <w:rFonts w:asciiTheme="majorHAnsi" w:hAnsiTheme="majorHAnsi" w:cstheme="majorHAnsi"/>
              <w:kern w:val="0"/>
              <w:sz w:val="14"/>
              <w:szCs w:val="14"/>
            </w:rPr>
            <w:t xml:space="preserve">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PAGE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r w:rsidRPr="0037789E">
            <w:rPr>
              <w:rFonts w:asciiTheme="majorHAnsi" w:hAnsiTheme="majorHAnsi" w:cstheme="majorHAnsi"/>
              <w:kern w:val="0"/>
              <w:sz w:val="14"/>
              <w:szCs w:val="14"/>
            </w:rPr>
            <w:t xml:space="preserve"> /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NUMPAGES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p>
      </w:tc>
    </w:tr>
  </w:tbl>
  <w:p w14:paraId="128F04CD" w14:textId="77777777" w:rsidR="0007329C" w:rsidRDefault="0007329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C40D" w14:textId="77777777" w:rsidR="00B32CA7" w:rsidRDefault="00B32C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EF7"/>
    <w:multiLevelType w:val="hybridMultilevel"/>
    <w:tmpl w:val="3A4AA0E4"/>
    <w:lvl w:ilvl="0" w:tplc="F37EC60E">
      <w:numFmt w:val="bullet"/>
      <w:lvlText w:val="•"/>
      <w:lvlJc w:val="left"/>
      <w:pPr>
        <w:ind w:left="1416" w:hanging="708"/>
      </w:pPr>
      <w:rPr>
        <w:rFonts w:ascii="Calibri Light" w:eastAsiaTheme="minorHAnsi" w:hAnsi="Calibri Light"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878693B"/>
    <w:multiLevelType w:val="multilevel"/>
    <w:tmpl w:val="802EF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E3824"/>
    <w:multiLevelType w:val="multilevel"/>
    <w:tmpl w:val="F2C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71879"/>
    <w:multiLevelType w:val="multilevel"/>
    <w:tmpl w:val="05F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80F5A"/>
    <w:multiLevelType w:val="multilevel"/>
    <w:tmpl w:val="4B1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5D80"/>
    <w:multiLevelType w:val="multilevel"/>
    <w:tmpl w:val="A63A8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13704"/>
    <w:multiLevelType w:val="multilevel"/>
    <w:tmpl w:val="B40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055716">
    <w:abstractNumId w:val="4"/>
  </w:num>
  <w:num w:numId="2" w16cid:durableId="408888257">
    <w:abstractNumId w:val="2"/>
  </w:num>
  <w:num w:numId="3" w16cid:durableId="1223518397">
    <w:abstractNumId w:val="6"/>
  </w:num>
  <w:num w:numId="4" w16cid:durableId="1065640823">
    <w:abstractNumId w:val="5"/>
  </w:num>
  <w:num w:numId="5" w16cid:durableId="1626498018">
    <w:abstractNumId w:val="1"/>
  </w:num>
  <w:num w:numId="6" w16cid:durableId="2051109882">
    <w:abstractNumId w:val="3"/>
  </w:num>
  <w:num w:numId="7" w16cid:durableId="9065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C"/>
    <w:rsid w:val="000530D2"/>
    <w:rsid w:val="00063EE0"/>
    <w:rsid w:val="0007329C"/>
    <w:rsid w:val="00074D2E"/>
    <w:rsid w:val="000A44AC"/>
    <w:rsid w:val="000C5C4A"/>
    <w:rsid w:val="00105D00"/>
    <w:rsid w:val="0011236E"/>
    <w:rsid w:val="001576BD"/>
    <w:rsid w:val="001968D8"/>
    <w:rsid w:val="001A2168"/>
    <w:rsid w:val="00203864"/>
    <w:rsid w:val="0026204D"/>
    <w:rsid w:val="00301505"/>
    <w:rsid w:val="00340F28"/>
    <w:rsid w:val="00362F5C"/>
    <w:rsid w:val="0037789E"/>
    <w:rsid w:val="0039235B"/>
    <w:rsid w:val="003C1C2B"/>
    <w:rsid w:val="004202A0"/>
    <w:rsid w:val="00424463"/>
    <w:rsid w:val="00451F6D"/>
    <w:rsid w:val="004F14E9"/>
    <w:rsid w:val="00517297"/>
    <w:rsid w:val="00562DE6"/>
    <w:rsid w:val="005961B3"/>
    <w:rsid w:val="005A6E26"/>
    <w:rsid w:val="005E4821"/>
    <w:rsid w:val="005F4F79"/>
    <w:rsid w:val="00666413"/>
    <w:rsid w:val="00673FB8"/>
    <w:rsid w:val="006E01E5"/>
    <w:rsid w:val="006F3460"/>
    <w:rsid w:val="00702450"/>
    <w:rsid w:val="007053B5"/>
    <w:rsid w:val="00732468"/>
    <w:rsid w:val="0074208F"/>
    <w:rsid w:val="00750355"/>
    <w:rsid w:val="00776CCA"/>
    <w:rsid w:val="007C0F55"/>
    <w:rsid w:val="00817DAA"/>
    <w:rsid w:val="008E010A"/>
    <w:rsid w:val="00982BAA"/>
    <w:rsid w:val="00A15756"/>
    <w:rsid w:val="00A54A37"/>
    <w:rsid w:val="00AF1328"/>
    <w:rsid w:val="00AF1381"/>
    <w:rsid w:val="00B32CA7"/>
    <w:rsid w:val="00B66AD9"/>
    <w:rsid w:val="00B81961"/>
    <w:rsid w:val="00B87C1E"/>
    <w:rsid w:val="00B90A06"/>
    <w:rsid w:val="00BC5425"/>
    <w:rsid w:val="00BD1049"/>
    <w:rsid w:val="00C60122"/>
    <w:rsid w:val="00CA2965"/>
    <w:rsid w:val="00CD4B67"/>
    <w:rsid w:val="00D368EA"/>
    <w:rsid w:val="00DA1F75"/>
    <w:rsid w:val="00DC0E57"/>
    <w:rsid w:val="00E06C2A"/>
    <w:rsid w:val="00E47CED"/>
    <w:rsid w:val="00E55450"/>
    <w:rsid w:val="00EC7B89"/>
    <w:rsid w:val="00EF44D9"/>
    <w:rsid w:val="00F01972"/>
    <w:rsid w:val="00F10E9B"/>
    <w:rsid w:val="00F25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ADA4"/>
  <w15:chartTrackingRefBased/>
  <w15:docId w15:val="{B7588D31-A43F-3248-BF7B-87A5832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29C"/>
    <w:pPr>
      <w:tabs>
        <w:tab w:val="center" w:pos="4536"/>
        <w:tab w:val="right" w:pos="9072"/>
      </w:tabs>
    </w:pPr>
  </w:style>
  <w:style w:type="character" w:customStyle="1" w:styleId="stBilgiChar">
    <w:name w:val="Üst Bilgi Char"/>
    <w:basedOn w:val="VarsaylanParagrafYazTipi"/>
    <w:link w:val="stBilgi"/>
    <w:uiPriority w:val="99"/>
    <w:rsid w:val="0007329C"/>
  </w:style>
  <w:style w:type="paragraph" w:styleId="AltBilgi">
    <w:name w:val="footer"/>
    <w:basedOn w:val="Normal"/>
    <w:link w:val="AltBilgiChar"/>
    <w:uiPriority w:val="99"/>
    <w:unhideWhenUsed/>
    <w:rsid w:val="0007329C"/>
    <w:pPr>
      <w:tabs>
        <w:tab w:val="center" w:pos="4536"/>
        <w:tab w:val="right" w:pos="9072"/>
      </w:tabs>
    </w:pPr>
  </w:style>
  <w:style w:type="character" w:customStyle="1" w:styleId="AltBilgiChar">
    <w:name w:val="Alt Bilgi Char"/>
    <w:basedOn w:val="VarsaylanParagrafYazTipi"/>
    <w:link w:val="AltBilgi"/>
    <w:uiPriority w:val="99"/>
    <w:rsid w:val="0007329C"/>
  </w:style>
  <w:style w:type="character" w:styleId="SayfaNumaras">
    <w:name w:val="page number"/>
    <w:basedOn w:val="VarsaylanParagrafYazTipi"/>
    <w:uiPriority w:val="99"/>
    <w:semiHidden/>
    <w:unhideWhenUsed/>
    <w:rsid w:val="0007329C"/>
  </w:style>
  <w:style w:type="table" w:styleId="TabloKlavuzu">
    <w:name w:val="Table Grid"/>
    <w:basedOn w:val="NormalTablo"/>
    <w:uiPriority w:val="39"/>
    <w:rsid w:val="0007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Sarı Turuncu">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812</Words>
  <Characters>4634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Selim Acarlı</cp:lastModifiedBy>
  <cp:revision>38</cp:revision>
  <dcterms:created xsi:type="dcterms:W3CDTF">2023-11-17T09:32:00Z</dcterms:created>
  <dcterms:modified xsi:type="dcterms:W3CDTF">2025-06-19T17:00:00Z</dcterms:modified>
</cp:coreProperties>
</file>