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5F369BC5" w14:textId="4933954D" w:rsidR="00845D03" w:rsidRPr="00095CE1" w:rsidRDefault="00B500B9" w:rsidP="00845D0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İstor Kuyumculuk</w:t>
      </w:r>
      <w:r w:rsidR="00DA10A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commits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zero-tolerance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stance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towards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, in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line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United Nations (UN)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Convention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Child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International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Labour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Organization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(ILO)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company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aims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maintain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leadership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adopting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high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transparency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responsibility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across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through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implementing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zero-tolerance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against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095CE1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="00845D03" w:rsidRPr="00095CE1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D02BF6A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D762018" w14:textId="77777777" w:rsidR="00845D03" w:rsidRPr="0026414E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1.Scope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Purpose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37BA29B6" w14:textId="48AFD3EC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encompasses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internal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external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of </w:t>
      </w:r>
      <w:r w:rsidR="00DA10A5" w:rsidRPr="00DA10A5">
        <w:rPr>
          <w:rFonts w:asciiTheme="majorHAnsi" w:hAnsiTheme="majorHAnsi" w:cstheme="majorHAnsi"/>
          <w:sz w:val="18"/>
          <w:szCs w:val="18"/>
        </w:rPr>
        <w:t>İstor Kuyumculuk</w:t>
      </w:r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including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subcontractors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goal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be an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leader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preventing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protecting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supporting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children's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prepared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alignment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guidance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provided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UN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ILO. </w:t>
      </w:r>
    </w:p>
    <w:p w14:paraId="7BDF01A8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54F825E" w14:textId="77777777" w:rsidR="00845D03" w:rsidRPr="0026414E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2.Definition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Prohibition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of Child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Labor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46491F33" w14:textId="41BDA5DE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095CE1">
        <w:rPr>
          <w:rFonts w:asciiTheme="majorHAnsi" w:hAnsiTheme="majorHAnsi" w:cstheme="majorHAnsi"/>
          <w:sz w:val="18"/>
          <w:szCs w:val="18"/>
        </w:rPr>
        <w:t xml:space="preserve">Child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refers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work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negatively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affects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child's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education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physical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mental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moral,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spiritual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development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  <w:r w:rsidR="00B500B9">
        <w:rPr>
          <w:rFonts w:asciiTheme="majorHAnsi" w:hAnsiTheme="majorHAnsi" w:cstheme="majorHAnsi"/>
          <w:sz w:val="18"/>
          <w:szCs w:val="18"/>
        </w:rPr>
        <w:t>İstor Kuyumculuk</w:t>
      </w:r>
      <w:r w:rsidR="00CF568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strictly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adheres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minimum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working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age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defined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ILO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UN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Convention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Child in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hiring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age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limit is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based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higher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age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when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compulsory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education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completed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higher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age. </w:t>
      </w:r>
    </w:p>
    <w:p w14:paraId="7E3EB334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66DBD43" w14:textId="77777777" w:rsidR="00845D03" w:rsidRPr="0026414E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3.Supply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Chain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Management</w:t>
      </w:r>
    </w:p>
    <w:p w14:paraId="7B02986A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company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clearly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communicates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stance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against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throughout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demands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same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D9E1BFC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5A46798" w14:textId="77777777" w:rsidR="00845D03" w:rsidRPr="0026414E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4.Auditing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Monitoring</w:t>
      </w:r>
      <w:proofErr w:type="spellEnd"/>
    </w:p>
    <w:p w14:paraId="2F26EBEA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internal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external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audits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conducted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company’s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These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audits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carried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out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within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framework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international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norms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guided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UN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ILO. </w:t>
      </w:r>
    </w:p>
    <w:p w14:paraId="0335449B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D95A48F" w14:textId="77777777" w:rsidR="00845D03" w:rsidRPr="0026414E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5.Training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Awareness</w:t>
      </w:r>
      <w:proofErr w:type="spellEnd"/>
    </w:p>
    <w:p w14:paraId="60D6C8E8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095CE1">
        <w:rPr>
          <w:rFonts w:asciiTheme="majorHAnsi" w:hAnsiTheme="majorHAnsi" w:cstheme="majorHAnsi"/>
          <w:sz w:val="18"/>
          <w:szCs w:val="18"/>
        </w:rPr>
        <w:t xml:space="preserve">Training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programs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aim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increase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awareness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children's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These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trainings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based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UN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Convention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Child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ILO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AE65DA6" w14:textId="77777777" w:rsidR="00845D03" w:rsidRPr="00095CE1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2A37C53" w14:textId="77777777" w:rsidR="00845D03" w:rsidRPr="0026414E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6.Violations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Complaint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Mechanism</w:t>
      </w:r>
      <w:proofErr w:type="spellEnd"/>
    </w:p>
    <w:p w14:paraId="34E55FE2" w14:textId="2EC522AC" w:rsidR="00845D03" w:rsidRPr="00BC5625" w:rsidRDefault="00845D03" w:rsidP="00845D03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event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violation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related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individuals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within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external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company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can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report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situation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confidentially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company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takes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reported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violations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seriously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swiftly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implements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corrective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095CE1">
        <w:rPr>
          <w:rFonts w:asciiTheme="majorHAnsi" w:hAnsiTheme="majorHAnsi" w:cstheme="majorHAnsi"/>
          <w:sz w:val="18"/>
          <w:szCs w:val="18"/>
        </w:rPr>
        <w:t>measures</w:t>
      </w:r>
      <w:proofErr w:type="spellEnd"/>
      <w:r w:rsidRPr="00095CE1">
        <w:rPr>
          <w:rFonts w:asciiTheme="majorHAnsi" w:hAnsiTheme="majorHAnsi" w:cstheme="majorHAnsi"/>
          <w:sz w:val="18"/>
          <w:szCs w:val="18"/>
        </w:rPr>
        <w:t xml:space="preserve">. </w:t>
      </w:r>
      <w:r w:rsidRPr="00095CE1">
        <w:rPr>
          <w:rFonts w:asciiTheme="majorHAnsi" w:hAnsiTheme="majorHAnsi" w:cstheme="majorHAnsi"/>
          <w:b/>
          <w:bCs/>
          <w:sz w:val="18"/>
          <w:szCs w:val="18"/>
        </w:rPr>
        <w:t>[</w:t>
      </w:r>
      <w:proofErr w:type="gramStart"/>
      <w:r w:rsidR="00B500B9" w:rsidRPr="00B500B9">
        <w:rPr>
          <w:rFonts w:asciiTheme="majorHAnsi" w:hAnsiTheme="majorHAnsi" w:cstheme="majorHAnsi"/>
          <w:b/>
          <w:bCs/>
          <w:sz w:val="18"/>
          <w:szCs w:val="18"/>
        </w:rPr>
        <w:t>https://www.istor.com.tr</w:t>
      </w:r>
      <w:r w:rsidR="00B06F0A">
        <w:rPr>
          <w:rFonts w:asciiTheme="majorHAnsi" w:hAnsiTheme="majorHAnsi" w:cstheme="majorHAnsi"/>
          <w:b/>
          <w:bCs/>
          <w:sz w:val="18"/>
          <w:szCs w:val="18"/>
        </w:rPr>
        <w:t>/</w:t>
      </w:r>
      <w:r w:rsidRPr="00095CE1">
        <w:rPr>
          <w:rFonts w:asciiTheme="majorHAnsi" w:hAnsiTheme="majorHAnsi" w:cstheme="majorHAnsi"/>
          <w:b/>
          <w:bCs/>
          <w:sz w:val="18"/>
          <w:szCs w:val="18"/>
        </w:rPr>
        <w:t>hotline</w:t>
      </w:r>
      <w:proofErr w:type="gramEnd"/>
      <w:r w:rsidRPr="00095CE1">
        <w:rPr>
          <w:rFonts w:asciiTheme="majorHAnsi" w:hAnsiTheme="majorHAnsi" w:cstheme="majorHAnsi"/>
          <w:b/>
          <w:bCs/>
          <w:sz w:val="18"/>
          <w:szCs w:val="18"/>
        </w:rPr>
        <w:t>]</w:t>
      </w:r>
    </w:p>
    <w:p w14:paraId="5E9C31DF" w14:textId="77777777" w:rsidR="00845D03" w:rsidRPr="00095CE1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293230DF" w14:textId="77777777" w:rsidR="00845D03" w:rsidRPr="0026414E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7.Continuous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Improvement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589B455" w14:textId="73A2A5C0" w:rsidR="00845D03" w:rsidRPr="00BC5625" w:rsidRDefault="00B500B9" w:rsidP="00845D0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İstor Kuyumculuk</w:t>
      </w:r>
      <w:r w:rsidR="00CF568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regularly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reviews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updates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policies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adoption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best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combating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845D03" w:rsidRPr="00BC5625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="00845D03" w:rsidRPr="00BC5625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ED7C1C7" w14:textId="77777777" w:rsidR="00845D03" w:rsidRPr="00BC5625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63198CF" w14:textId="77777777" w:rsidR="00845D03" w:rsidRPr="0026414E" w:rsidRDefault="00845D03" w:rsidP="00845D03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8.Policy </w:t>
      </w:r>
      <w:proofErr w:type="spellStart"/>
      <w:r w:rsidRPr="0026414E">
        <w:rPr>
          <w:rFonts w:asciiTheme="majorHAnsi" w:hAnsiTheme="majorHAnsi" w:cstheme="majorHAnsi"/>
          <w:b/>
          <w:bCs/>
          <w:sz w:val="18"/>
          <w:szCs w:val="18"/>
        </w:rPr>
        <w:t>Review</w:t>
      </w:r>
      <w:proofErr w:type="spellEnd"/>
      <w:r w:rsidRPr="0026414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37BFE270" w14:textId="77777777" w:rsidR="00845D03" w:rsidRPr="00BC5625" w:rsidRDefault="00845D03" w:rsidP="00845D03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BC5625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regularly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reviewed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updated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accordance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current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guidance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related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provided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UN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ILO. </w:t>
      </w:r>
    </w:p>
    <w:p w14:paraId="575EC717" w14:textId="77777777" w:rsidR="00845D03" w:rsidRPr="00BC5625" w:rsidRDefault="00845D03" w:rsidP="00845D03">
      <w:pPr>
        <w:rPr>
          <w:rFonts w:asciiTheme="majorHAnsi" w:hAnsiTheme="majorHAnsi" w:cstheme="majorHAnsi"/>
          <w:sz w:val="18"/>
          <w:szCs w:val="18"/>
        </w:rPr>
      </w:pPr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BB23363" w14:textId="6AADD2F5" w:rsidR="00562DE6" w:rsidRPr="00845D03" w:rsidRDefault="00845D03" w:rsidP="00562DE6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BC5625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demonstrates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r w:rsidR="005D4170" w:rsidRPr="005D4170">
        <w:rPr>
          <w:rFonts w:asciiTheme="majorHAnsi" w:hAnsiTheme="majorHAnsi" w:cstheme="majorHAnsi"/>
          <w:sz w:val="18"/>
          <w:szCs w:val="18"/>
        </w:rPr>
        <w:t>İstor Kuyumculuk</w:t>
      </w:r>
      <w:r w:rsidRPr="00BC5625">
        <w:rPr>
          <w:rFonts w:asciiTheme="majorHAnsi" w:hAnsiTheme="majorHAnsi" w:cstheme="majorHAnsi"/>
          <w:sz w:val="18"/>
          <w:szCs w:val="18"/>
        </w:rPr>
        <w:t>'</w:t>
      </w:r>
      <w:r w:rsidR="005D4170">
        <w:rPr>
          <w:rFonts w:asciiTheme="majorHAnsi" w:hAnsiTheme="majorHAnsi" w:cstheme="majorHAnsi"/>
          <w:sz w:val="18"/>
          <w:szCs w:val="18"/>
        </w:rPr>
        <w:t xml:space="preserve"> </w:t>
      </w:r>
      <w:r w:rsidRPr="00BC5625">
        <w:rPr>
          <w:rFonts w:asciiTheme="majorHAnsi" w:hAnsiTheme="majorHAnsi" w:cstheme="majorHAnsi"/>
          <w:sz w:val="18"/>
          <w:szCs w:val="18"/>
        </w:rPr>
        <w:t xml:space="preserve">s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clear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definitive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stance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against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child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. As a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company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contributing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international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efforts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protect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support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children's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C5625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BC5625">
        <w:rPr>
          <w:rFonts w:asciiTheme="majorHAnsi" w:hAnsiTheme="majorHAnsi" w:cstheme="majorHAnsi"/>
          <w:sz w:val="18"/>
          <w:szCs w:val="18"/>
        </w:rPr>
        <w:t>.</w:t>
      </w:r>
    </w:p>
    <w:p w14:paraId="3E6A384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27B9F1E" w14:textId="77777777" w:rsidR="0061445B" w:rsidRPr="00F827B2" w:rsidRDefault="0061445B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61445B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01D96EB5" w14:textId="2412E377" w:rsidR="00F01972" w:rsidRPr="00F13FFA" w:rsidRDefault="00562DE6" w:rsidP="00F13FFA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sectPr w:rsidR="00F01972" w:rsidRPr="00F13FFA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903C" w14:textId="77777777" w:rsidR="003B320C" w:rsidRDefault="003B320C" w:rsidP="0007329C">
      <w:r>
        <w:separator/>
      </w:r>
    </w:p>
  </w:endnote>
  <w:endnote w:type="continuationSeparator" w:id="0">
    <w:p w14:paraId="4E6AE01D" w14:textId="77777777" w:rsidR="003B320C" w:rsidRDefault="003B320C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2EC8" w14:textId="77777777" w:rsidR="003B320C" w:rsidRDefault="003B320C" w:rsidP="0007329C">
      <w:r>
        <w:separator/>
      </w:r>
    </w:p>
  </w:footnote>
  <w:footnote w:type="continuationSeparator" w:id="0">
    <w:p w14:paraId="243B8941" w14:textId="77777777" w:rsidR="003B320C" w:rsidRDefault="003B320C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5EC84F14" w:rsidR="001968D8" w:rsidRPr="0007329C" w:rsidRDefault="00CB11FE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B577E7">
            <w:rPr>
              <w:rFonts w:asciiTheme="majorHAnsi" w:hAnsiTheme="majorHAnsi" w:cstheme="majorHAnsi"/>
            </w:rPr>
            <w:t xml:space="preserve">CHILD LABOR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1DC2D49A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CB11FE">
            <w:rPr>
              <w:rFonts w:asciiTheme="majorHAnsi" w:hAnsiTheme="majorHAnsi" w:cstheme="majorHAnsi"/>
              <w:sz w:val="14"/>
              <w:szCs w:val="14"/>
            </w:rPr>
            <w:t>02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="006636C8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6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16FA5"/>
    <w:rsid w:val="00026EE1"/>
    <w:rsid w:val="0004576D"/>
    <w:rsid w:val="00063EE0"/>
    <w:rsid w:val="0007329C"/>
    <w:rsid w:val="00074D2E"/>
    <w:rsid w:val="000A44AC"/>
    <w:rsid w:val="000C5C4A"/>
    <w:rsid w:val="0011236E"/>
    <w:rsid w:val="001576BD"/>
    <w:rsid w:val="001968D8"/>
    <w:rsid w:val="001A2168"/>
    <w:rsid w:val="001E46FD"/>
    <w:rsid w:val="00203864"/>
    <w:rsid w:val="0026204D"/>
    <w:rsid w:val="002C3546"/>
    <w:rsid w:val="002E46AF"/>
    <w:rsid w:val="00301505"/>
    <w:rsid w:val="00322C30"/>
    <w:rsid w:val="003232CB"/>
    <w:rsid w:val="00362F5C"/>
    <w:rsid w:val="0037789E"/>
    <w:rsid w:val="0039235B"/>
    <w:rsid w:val="003B320C"/>
    <w:rsid w:val="003C1C2B"/>
    <w:rsid w:val="003D603D"/>
    <w:rsid w:val="004202A0"/>
    <w:rsid w:val="00424463"/>
    <w:rsid w:val="00451F6D"/>
    <w:rsid w:val="0047166D"/>
    <w:rsid w:val="004F14E9"/>
    <w:rsid w:val="00517297"/>
    <w:rsid w:val="00562DE6"/>
    <w:rsid w:val="005A6E26"/>
    <w:rsid w:val="005D4170"/>
    <w:rsid w:val="005E4821"/>
    <w:rsid w:val="005F4F79"/>
    <w:rsid w:val="00600190"/>
    <w:rsid w:val="0061445B"/>
    <w:rsid w:val="006636C8"/>
    <w:rsid w:val="00666413"/>
    <w:rsid w:val="00673FB8"/>
    <w:rsid w:val="006A64DE"/>
    <w:rsid w:val="006E01E5"/>
    <w:rsid w:val="006F3460"/>
    <w:rsid w:val="00702450"/>
    <w:rsid w:val="007053B5"/>
    <w:rsid w:val="00732468"/>
    <w:rsid w:val="0074208F"/>
    <w:rsid w:val="00750355"/>
    <w:rsid w:val="007C0F55"/>
    <w:rsid w:val="00817DAA"/>
    <w:rsid w:val="00845D03"/>
    <w:rsid w:val="008E010A"/>
    <w:rsid w:val="00955E4D"/>
    <w:rsid w:val="00984549"/>
    <w:rsid w:val="00A15756"/>
    <w:rsid w:val="00AF1328"/>
    <w:rsid w:val="00B06F0A"/>
    <w:rsid w:val="00B500B9"/>
    <w:rsid w:val="00B81961"/>
    <w:rsid w:val="00B87C1E"/>
    <w:rsid w:val="00B90A06"/>
    <w:rsid w:val="00BC5425"/>
    <w:rsid w:val="00BD1049"/>
    <w:rsid w:val="00C60122"/>
    <w:rsid w:val="00C94018"/>
    <w:rsid w:val="00CA2965"/>
    <w:rsid w:val="00CB11FE"/>
    <w:rsid w:val="00CF568F"/>
    <w:rsid w:val="00D368EA"/>
    <w:rsid w:val="00DA10A5"/>
    <w:rsid w:val="00DA1F75"/>
    <w:rsid w:val="00DC0E57"/>
    <w:rsid w:val="00E06C2A"/>
    <w:rsid w:val="00E47CED"/>
    <w:rsid w:val="00E55450"/>
    <w:rsid w:val="00EC7B89"/>
    <w:rsid w:val="00EF44D9"/>
    <w:rsid w:val="00F01972"/>
    <w:rsid w:val="00F13FFA"/>
    <w:rsid w:val="00F25A91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67</cp:revision>
  <dcterms:created xsi:type="dcterms:W3CDTF">2023-11-17T09:32:00Z</dcterms:created>
  <dcterms:modified xsi:type="dcterms:W3CDTF">2025-06-19T17:10:00Z</dcterms:modified>
</cp:coreProperties>
</file>