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5971F" w14:textId="77777777" w:rsidR="0085017B" w:rsidRDefault="0085017B" w:rsidP="0085017B">
      <w:pPr>
        <w:rPr>
          <w:rFonts w:asciiTheme="majorHAnsi" w:hAnsiTheme="majorHAnsi" w:cstheme="majorHAnsi"/>
          <w:sz w:val="18"/>
          <w:szCs w:val="18"/>
        </w:rPr>
      </w:pPr>
      <w:r w:rsidRPr="00F64110">
        <w:rPr>
          <w:rFonts w:asciiTheme="majorHAnsi" w:hAnsiTheme="majorHAnsi" w:cstheme="majorHAnsi"/>
          <w:b/>
          <w:bCs/>
          <w:sz w:val="18"/>
          <w:szCs w:val="18"/>
        </w:rPr>
        <w:t>Kapsam:</w:t>
      </w:r>
      <w:r>
        <w:rPr>
          <w:rFonts w:asciiTheme="majorHAnsi" w:hAnsiTheme="majorHAnsi" w:cstheme="majorHAnsi"/>
          <w:b/>
          <w:bCs/>
          <w:sz w:val="18"/>
          <w:szCs w:val="18"/>
        </w:rPr>
        <w:t xml:space="preserve"> </w:t>
      </w:r>
      <w:r w:rsidRPr="0049728F">
        <w:rPr>
          <w:rFonts w:asciiTheme="majorHAnsi" w:hAnsiTheme="majorHAnsi" w:cstheme="majorHAnsi"/>
          <w:sz w:val="18"/>
          <w:szCs w:val="18"/>
        </w:rPr>
        <w:t xml:space="preserve">Altın, Gümüş Değerli Madenleri </w:t>
      </w:r>
      <w:r>
        <w:rPr>
          <w:rFonts w:asciiTheme="majorHAnsi" w:hAnsiTheme="majorHAnsi" w:cstheme="majorHAnsi"/>
          <w:sz w:val="18"/>
          <w:szCs w:val="18"/>
        </w:rPr>
        <w:t>v</w:t>
      </w:r>
      <w:r w:rsidRPr="0049728F">
        <w:rPr>
          <w:rFonts w:asciiTheme="majorHAnsi" w:hAnsiTheme="majorHAnsi" w:cstheme="majorHAnsi"/>
          <w:sz w:val="18"/>
          <w:szCs w:val="18"/>
        </w:rPr>
        <w:t xml:space="preserve">e Değerli Taşlar (Pırlanta) </w:t>
      </w:r>
      <w:r>
        <w:rPr>
          <w:rFonts w:asciiTheme="majorHAnsi" w:hAnsiTheme="majorHAnsi" w:cstheme="majorHAnsi"/>
          <w:sz w:val="18"/>
          <w:szCs w:val="18"/>
        </w:rPr>
        <w:t>i</w:t>
      </w:r>
      <w:r w:rsidRPr="0049728F">
        <w:rPr>
          <w:rFonts w:asciiTheme="majorHAnsi" w:hAnsiTheme="majorHAnsi" w:cstheme="majorHAnsi"/>
          <w:sz w:val="18"/>
          <w:szCs w:val="18"/>
        </w:rPr>
        <w:t xml:space="preserve">le Takı Modellemesi, Tasarımı, Üretimi, Satışı </w:t>
      </w:r>
      <w:r>
        <w:rPr>
          <w:rFonts w:asciiTheme="majorHAnsi" w:hAnsiTheme="majorHAnsi" w:cstheme="majorHAnsi"/>
          <w:sz w:val="18"/>
          <w:szCs w:val="18"/>
        </w:rPr>
        <w:t>v</w:t>
      </w:r>
      <w:r w:rsidRPr="0049728F">
        <w:rPr>
          <w:rFonts w:asciiTheme="majorHAnsi" w:hAnsiTheme="majorHAnsi" w:cstheme="majorHAnsi"/>
          <w:sz w:val="18"/>
          <w:szCs w:val="18"/>
        </w:rPr>
        <w:t>e İhracatı</w:t>
      </w:r>
    </w:p>
    <w:p w14:paraId="1AE8BC3C" w14:textId="77777777" w:rsidR="00562DE6" w:rsidRDefault="00562DE6" w:rsidP="00562DE6">
      <w:pPr>
        <w:rPr>
          <w:rFonts w:asciiTheme="majorHAnsi" w:hAnsiTheme="majorHAnsi" w:cstheme="majorHAnsi"/>
          <w:sz w:val="18"/>
          <w:szCs w:val="18"/>
          <w:lang w:val="en-US"/>
        </w:rPr>
      </w:pPr>
    </w:p>
    <w:p w14:paraId="0DA68020" w14:textId="2BD3FC35" w:rsidR="004D2659" w:rsidRPr="00641B7C" w:rsidRDefault="00125A02" w:rsidP="004D2659">
      <w:pPr>
        <w:rPr>
          <w:rFonts w:asciiTheme="majorHAnsi" w:hAnsiTheme="majorHAnsi" w:cstheme="majorHAnsi"/>
          <w:sz w:val="18"/>
          <w:szCs w:val="18"/>
        </w:rPr>
      </w:pPr>
      <w:r>
        <w:rPr>
          <w:rFonts w:asciiTheme="majorHAnsi" w:hAnsiTheme="majorHAnsi" w:cstheme="majorHAnsi"/>
          <w:sz w:val="18"/>
          <w:szCs w:val="18"/>
        </w:rPr>
        <w:t>İstor Kuyumculuk</w:t>
      </w:r>
      <w:r w:rsidR="004D2659" w:rsidRPr="00641B7C">
        <w:rPr>
          <w:rFonts w:asciiTheme="majorHAnsi" w:hAnsiTheme="majorHAnsi" w:cstheme="majorHAnsi"/>
          <w:sz w:val="18"/>
          <w:szCs w:val="18"/>
        </w:rPr>
        <w:t xml:space="preserve">, Birleşmiş Milletler (BM) Çocuk Hakları Sözleşmesi ve Uluslararası Çalışma Örgütü (ILO) standartlarına uygun olarak, iş uygulamalarında çocuk işçiliğine karşı sıfır tolerans taahhüdünde bulunmaktadır. Şirketimiz, tüm iş süreçlerinde yüksek etik standartlar, şeffaflık ve sorumluluk benimseyerek çocuk işçiliğine karşı sıfır tolerans politikası uygulayarak sektördeki liderliğini sürdürmeyi hedeflemektedir. </w:t>
      </w:r>
    </w:p>
    <w:p w14:paraId="478E1368" w14:textId="77777777" w:rsidR="004D2659" w:rsidRPr="00641B7C" w:rsidRDefault="004D2659" w:rsidP="004D2659">
      <w:pPr>
        <w:rPr>
          <w:rFonts w:asciiTheme="majorHAnsi" w:hAnsiTheme="majorHAnsi" w:cstheme="majorHAnsi"/>
          <w:sz w:val="18"/>
          <w:szCs w:val="18"/>
        </w:rPr>
      </w:pPr>
      <w:r w:rsidRPr="00641B7C">
        <w:rPr>
          <w:rFonts w:asciiTheme="majorHAnsi" w:hAnsiTheme="majorHAnsi" w:cstheme="majorHAnsi"/>
          <w:sz w:val="18"/>
          <w:szCs w:val="18"/>
        </w:rPr>
        <w:t xml:space="preserve"> </w:t>
      </w:r>
    </w:p>
    <w:p w14:paraId="308B6293" w14:textId="77777777" w:rsidR="004D2659" w:rsidRPr="00C456D1" w:rsidRDefault="004D2659" w:rsidP="004D2659">
      <w:pPr>
        <w:rPr>
          <w:rFonts w:asciiTheme="majorHAnsi" w:hAnsiTheme="majorHAnsi" w:cstheme="majorHAnsi"/>
          <w:b/>
          <w:bCs/>
          <w:sz w:val="18"/>
          <w:szCs w:val="18"/>
        </w:rPr>
      </w:pPr>
      <w:r w:rsidRPr="00C456D1">
        <w:rPr>
          <w:rFonts w:asciiTheme="majorHAnsi" w:hAnsiTheme="majorHAnsi" w:cstheme="majorHAnsi"/>
          <w:b/>
          <w:bCs/>
          <w:sz w:val="18"/>
          <w:szCs w:val="18"/>
        </w:rPr>
        <w:t xml:space="preserve">1.Kapsam ve Amaç </w:t>
      </w:r>
    </w:p>
    <w:p w14:paraId="6E515ED7" w14:textId="3911FDF6" w:rsidR="004D2659" w:rsidRPr="00641B7C" w:rsidRDefault="004D2659" w:rsidP="004D2659">
      <w:pPr>
        <w:rPr>
          <w:rFonts w:asciiTheme="majorHAnsi" w:hAnsiTheme="majorHAnsi" w:cstheme="majorHAnsi"/>
          <w:sz w:val="18"/>
          <w:szCs w:val="18"/>
        </w:rPr>
      </w:pPr>
      <w:r w:rsidRPr="00641B7C">
        <w:rPr>
          <w:rFonts w:asciiTheme="majorHAnsi" w:hAnsiTheme="majorHAnsi" w:cstheme="majorHAnsi"/>
          <w:sz w:val="18"/>
          <w:szCs w:val="18"/>
        </w:rPr>
        <w:t xml:space="preserve">Bu politika, </w:t>
      </w:r>
      <w:r w:rsidR="00125A02">
        <w:rPr>
          <w:rFonts w:asciiTheme="majorHAnsi" w:hAnsiTheme="majorHAnsi" w:cstheme="majorHAnsi"/>
          <w:sz w:val="18"/>
          <w:szCs w:val="18"/>
        </w:rPr>
        <w:t>İstor Kuyumculuk</w:t>
      </w:r>
      <w:r w:rsidRPr="00641B7C">
        <w:rPr>
          <w:rFonts w:asciiTheme="majorHAnsi" w:hAnsiTheme="majorHAnsi" w:cstheme="majorHAnsi"/>
          <w:sz w:val="18"/>
          <w:szCs w:val="18"/>
        </w:rPr>
        <w:t>'</w:t>
      </w:r>
      <w:r w:rsidR="00766398">
        <w:rPr>
          <w:rFonts w:asciiTheme="majorHAnsi" w:hAnsiTheme="majorHAnsi" w:cstheme="majorHAnsi"/>
          <w:sz w:val="18"/>
          <w:szCs w:val="18"/>
        </w:rPr>
        <w:t xml:space="preserve"> un</w:t>
      </w:r>
      <w:r w:rsidRPr="00641B7C">
        <w:rPr>
          <w:rFonts w:asciiTheme="majorHAnsi" w:hAnsiTheme="majorHAnsi" w:cstheme="majorHAnsi"/>
          <w:sz w:val="18"/>
          <w:szCs w:val="18"/>
        </w:rPr>
        <w:t xml:space="preserve"> tüm iç ve dış operasyonlarını, tedarik zinciri, taşeronlar, tedarikçiler ve iş ortakları dahil olmak üzere kapsar. Amacımız, çocuk işçiliğini önleme konusunda sektör lideri olmak ve çocuk haklarını korumak ve desteklemektir. Bu politika, BM ve ILO tarafından sağlanan rehberlik ve standartlarla uyumlu olarak hazırlanmıştır. </w:t>
      </w:r>
    </w:p>
    <w:p w14:paraId="42B05C36" w14:textId="77777777" w:rsidR="004D2659" w:rsidRPr="00641B7C" w:rsidRDefault="004D2659" w:rsidP="004D2659">
      <w:pPr>
        <w:rPr>
          <w:rFonts w:asciiTheme="majorHAnsi" w:hAnsiTheme="majorHAnsi" w:cstheme="majorHAnsi"/>
          <w:sz w:val="18"/>
          <w:szCs w:val="18"/>
        </w:rPr>
      </w:pPr>
      <w:r w:rsidRPr="00641B7C">
        <w:rPr>
          <w:rFonts w:asciiTheme="majorHAnsi" w:hAnsiTheme="majorHAnsi" w:cstheme="majorHAnsi"/>
          <w:sz w:val="18"/>
          <w:szCs w:val="18"/>
        </w:rPr>
        <w:t xml:space="preserve"> </w:t>
      </w:r>
    </w:p>
    <w:p w14:paraId="02CE5212" w14:textId="77777777" w:rsidR="004D2659" w:rsidRPr="00C456D1" w:rsidRDefault="004D2659" w:rsidP="004D2659">
      <w:pPr>
        <w:rPr>
          <w:rFonts w:asciiTheme="majorHAnsi" w:hAnsiTheme="majorHAnsi" w:cstheme="majorHAnsi"/>
          <w:b/>
          <w:bCs/>
          <w:sz w:val="18"/>
          <w:szCs w:val="18"/>
        </w:rPr>
      </w:pPr>
      <w:r w:rsidRPr="00C456D1">
        <w:rPr>
          <w:rFonts w:asciiTheme="majorHAnsi" w:hAnsiTheme="majorHAnsi" w:cstheme="majorHAnsi"/>
          <w:b/>
          <w:bCs/>
          <w:sz w:val="18"/>
          <w:szCs w:val="18"/>
        </w:rPr>
        <w:t xml:space="preserve">2.Çocuk İşçiliğinin Tanımı ve Yasaklanması </w:t>
      </w:r>
    </w:p>
    <w:p w14:paraId="402F36D5" w14:textId="4C0168EA" w:rsidR="004D2659" w:rsidRPr="00641B7C" w:rsidRDefault="004D2659" w:rsidP="004D2659">
      <w:pPr>
        <w:rPr>
          <w:rFonts w:asciiTheme="majorHAnsi" w:hAnsiTheme="majorHAnsi" w:cstheme="majorHAnsi"/>
          <w:sz w:val="18"/>
          <w:szCs w:val="18"/>
        </w:rPr>
      </w:pPr>
      <w:r w:rsidRPr="00641B7C">
        <w:rPr>
          <w:rFonts w:asciiTheme="majorHAnsi" w:hAnsiTheme="majorHAnsi" w:cstheme="majorHAnsi"/>
          <w:sz w:val="18"/>
          <w:szCs w:val="18"/>
        </w:rPr>
        <w:t xml:space="preserve">Çocuk işçiliği, bir çocuğun eğitim, sağlık, fiziksel, zihinsel, ahlaki, sosyal ve ruhsal gelişimini olumsuz etkileyen her türlü çalışmayı ifade eder. </w:t>
      </w:r>
      <w:r w:rsidR="00125A02">
        <w:rPr>
          <w:rFonts w:asciiTheme="majorHAnsi" w:hAnsiTheme="majorHAnsi" w:cstheme="majorHAnsi"/>
          <w:sz w:val="18"/>
          <w:szCs w:val="18"/>
        </w:rPr>
        <w:t>İstor Kuyumculuk</w:t>
      </w:r>
      <w:r w:rsidRPr="00641B7C">
        <w:rPr>
          <w:rFonts w:asciiTheme="majorHAnsi" w:hAnsiTheme="majorHAnsi" w:cstheme="majorHAnsi"/>
          <w:sz w:val="18"/>
          <w:szCs w:val="18"/>
        </w:rPr>
        <w:t xml:space="preserve">, işe alım süreçlerinde ILO ve BM Çocuk Hakları Sözleşmesi tarafından tanımlanan asgari çalışma yaşına kesinlikle uyar. Yaş sınırı, zorunlu eğitimin tamamlandığı yaşa veya daha yüksek bir yaşa dayanır. </w:t>
      </w:r>
    </w:p>
    <w:p w14:paraId="6E576F5B" w14:textId="77777777" w:rsidR="004D2659" w:rsidRPr="00641B7C" w:rsidRDefault="004D2659" w:rsidP="004D2659">
      <w:pPr>
        <w:rPr>
          <w:rFonts w:asciiTheme="majorHAnsi" w:hAnsiTheme="majorHAnsi" w:cstheme="majorHAnsi"/>
          <w:sz w:val="18"/>
          <w:szCs w:val="18"/>
        </w:rPr>
      </w:pPr>
      <w:r w:rsidRPr="00641B7C">
        <w:rPr>
          <w:rFonts w:asciiTheme="majorHAnsi" w:hAnsiTheme="majorHAnsi" w:cstheme="majorHAnsi"/>
          <w:sz w:val="18"/>
          <w:szCs w:val="18"/>
        </w:rPr>
        <w:t xml:space="preserve"> </w:t>
      </w:r>
    </w:p>
    <w:p w14:paraId="2B57EF12" w14:textId="77777777" w:rsidR="004D2659" w:rsidRPr="00C456D1" w:rsidRDefault="004D2659" w:rsidP="004D2659">
      <w:pPr>
        <w:rPr>
          <w:rFonts w:asciiTheme="majorHAnsi" w:hAnsiTheme="majorHAnsi" w:cstheme="majorHAnsi"/>
          <w:b/>
          <w:bCs/>
          <w:sz w:val="18"/>
          <w:szCs w:val="18"/>
        </w:rPr>
      </w:pPr>
      <w:r w:rsidRPr="00C456D1">
        <w:rPr>
          <w:rFonts w:asciiTheme="majorHAnsi" w:hAnsiTheme="majorHAnsi" w:cstheme="majorHAnsi"/>
          <w:b/>
          <w:bCs/>
          <w:sz w:val="18"/>
          <w:szCs w:val="18"/>
        </w:rPr>
        <w:t xml:space="preserve">3.Sorumluluk ve Uygulama </w:t>
      </w:r>
    </w:p>
    <w:p w14:paraId="677B4680" w14:textId="77777777" w:rsidR="004D2659" w:rsidRPr="00641B7C" w:rsidRDefault="004D2659" w:rsidP="004D2659">
      <w:pPr>
        <w:rPr>
          <w:rFonts w:asciiTheme="majorHAnsi" w:hAnsiTheme="majorHAnsi" w:cstheme="majorHAnsi"/>
          <w:sz w:val="18"/>
          <w:szCs w:val="18"/>
        </w:rPr>
      </w:pPr>
      <w:r w:rsidRPr="00641B7C">
        <w:rPr>
          <w:rFonts w:asciiTheme="majorHAnsi" w:hAnsiTheme="majorHAnsi" w:cstheme="majorHAnsi"/>
          <w:sz w:val="18"/>
          <w:szCs w:val="18"/>
        </w:rPr>
        <w:t xml:space="preserve">• Tedarik Zinciri Yönetimi: Şirket, tedarik zinciri boyunca çocuk işçiliğine karşı duruşunu açıkça iletmekte ve tedarikçilerinden aynı standartları talep etmektedir.  </w:t>
      </w:r>
    </w:p>
    <w:p w14:paraId="7F4C88D8" w14:textId="77777777" w:rsidR="004D2659" w:rsidRPr="00641B7C" w:rsidRDefault="004D2659" w:rsidP="004D2659">
      <w:pPr>
        <w:rPr>
          <w:rFonts w:asciiTheme="majorHAnsi" w:hAnsiTheme="majorHAnsi" w:cstheme="majorHAnsi"/>
          <w:sz w:val="18"/>
          <w:szCs w:val="18"/>
        </w:rPr>
      </w:pPr>
      <w:r w:rsidRPr="00641B7C">
        <w:rPr>
          <w:rFonts w:asciiTheme="majorHAnsi" w:hAnsiTheme="majorHAnsi" w:cstheme="majorHAnsi"/>
          <w:sz w:val="18"/>
          <w:szCs w:val="18"/>
        </w:rPr>
        <w:t xml:space="preserve">•Denetleme ve İzleme: Şirketin çocuk işçiliği politikasına uyumunun sağlanması için düzenli iç ve dış denetimler gerçekleştirilmektedir. Bu denetimler, BM ve ILO tarafından yönlendirilen uluslararası norm ve standartlar çerçevesinde yürütülmektedir.  </w:t>
      </w:r>
    </w:p>
    <w:p w14:paraId="362AB956" w14:textId="77777777" w:rsidR="004D2659" w:rsidRPr="00641B7C" w:rsidRDefault="004D2659" w:rsidP="004D2659">
      <w:pPr>
        <w:rPr>
          <w:rFonts w:asciiTheme="majorHAnsi" w:hAnsiTheme="majorHAnsi" w:cstheme="majorHAnsi"/>
          <w:sz w:val="18"/>
          <w:szCs w:val="18"/>
        </w:rPr>
      </w:pPr>
      <w:r w:rsidRPr="00641B7C">
        <w:rPr>
          <w:rFonts w:asciiTheme="majorHAnsi" w:hAnsiTheme="majorHAnsi" w:cstheme="majorHAnsi"/>
          <w:sz w:val="18"/>
          <w:szCs w:val="18"/>
        </w:rPr>
        <w:t xml:space="preserve">•Eğitim ve Farkındalık: Çalışanlar ve iş ortakları için düzenlenen eğitim programları, çocuk işçiliği ve çocuk hakları konusunda farkındalığı artırmayı hedeflemektedir. Bu eğitimler, BM Çocuk Hakları Sözleşmesi ve ILO standartlarına dayanmaktadır. </w:t>
      </w:r>
    </w:p>
    <w:p w14:paraId="2014DD41" w14:textId="77777777" w:rsidR="004D2659" w:rsidRPr="00641B7C" w:rsidRDefault="004D2659" w:rsidP="004D2659">
      <w:pPr>
        <w:rPr>
          <w:rFonts w:asciiTheme="majorHAnsi" w:hAnsiTheme="majorHAnsi" w:cstheme="majorHAnsi"/>
          <w:sz w:val="18"/>
          <w:szCs w:val="18"/>
        </w:rPr>
      </w:pPr>
      <w:r w:rsidRPr="00641B7C">
        <w:rPr>
          <w:rFonts w:asciiTheme="majorHAnsi" w:hAnsiTheme="majorHAnsi" w:cstheme="majorHAnsi"/>
          <w:sz w:val="18"/>
          <w:szCs w:val="18"/>
        </w:rPr>
        <w:t xml:space="preserve"> </w:t>
      </w:r>
    </w:p>
    <w:p w14:paraId="5B78C541" w14:textId="77777777" w:rsidR="004D2659" w:rsidRPr="00C456D1" w:rsidRDefault="004D2659" w:rsidP="004D2659">
      <w:pPr>
        <w:rPr>
          <w:rFonts w:asciiTheme="majorHAnsi" w:hAnsiTheme="majorHAnsi" w:cstheme="majorHAnsi"/>
          <w:b/>
          <w:bCs/>
          <w:sz w:val="18"/>
          <w:szCs w:val="18"/>
        </w:rPr>
      </w:pPr>
      <w:r w:rsidRPr="00C456D1">
        <w:rPr>
          <w:rFonts w:asciiTheme="majorHAnsi" w:hAnsiTheme="majorHAnsi" w:cstheme="majorHAnsi"/>
          <w:b/>
          <w:bCs/>
          <w:sz w:val="18"/>
          <w:szCs w:val="18"/>
        </w:rPr>
        <w:t xml:space="preserve">4.İhlaller ve </w:t>
      </w:r>
      <w:proofErr w:type="gramStart"/>
      <w:r w:rsidRPr="00C456D1">
        <w:rPr>
          <w:rFonts w:asciiTheme="majorHAnsi" w:hAnsiTheme="majorHAnsi" w:cstheme="majorHAnsi"/>
          <w:b/>
          <w:bCs/>
          <w:sz w:val="18"/>
          <w:szCs w:val="18"/>
        </w:rPr>
        <w:t>Şikayet</w:t>
      </w:r>
      <w:proofErr w:type="gramEnd"/>
      <w:r w:rsidRPr="00C456D1">
        <w:rPr>
          <w:rFonts w:asciiTheme="majorHAnsi" w:hAnsiTheme="majorHAnsi" w:cstheme="majorHAnsi"/>
          <w:b/>
          <w:bCs/>
          <w:sz w:val="18"/>
          <w:szCs w:val="18"/>
        </w:rPr>
        <w:t xml:space="preserve"> Mekanizması </w:t>
      </w:r>
    </w:p>
    <w:p w14:paraId="433422C2" w14:textId="77777777" w:rsidR="004D2659" w:rsidRDefault="004D2659" w:rsidP="004D2659">
      <w:pPr>
        <w:rPr>
          <w:rFonts w:asciiTheme="majorHAnsi" w:hAnsiTheme="majorHAnsi" w:cstheme="majorHAnsi"/>
          <w:sz w:val="18"/>
          <w:szCs w:val="18"/>
        </w:rPr>
      </w:pPr>
      <w:r w:rsidRPr="00641B7C">
        <w:rPr>
          <w:rFonts w:asciiTheme="majorHAnsi" w:hAnsiTheme="majorHAnsi" w:cstheme="majorHAnsi"/>
          <w:sz w:val="18"/>
          <w:szCs w:val="18"/>
        </w:rPr>
        <w:t xml:space="preserve">Çocuk işçiliği ile ilgili herhangi bir ihlal durumunda, şirket içinden veya dışından bireyler durumu gizlice rapor edebilir. Şirket, bildirilen tüm ihlalleri ciddiye alır ve gerekli düzeltici önlemleri hızla uygular. </w:t>
      </w:r>
    </w:p>
    <w:p w14:paraId="422645A4" w14:textId="657E27A3" w:rsidR="004D2659" w:rsidRPr="00641B7C" w:rsidRDefault="004D2659" w:rsidP="004D2659">
      <w:pPr>
        <w:rPr>
          <w:rFonts w:asciiTheme="majorHAnsi" w:hAnsiTheme="majorHAnsi" w:cstheme="majorHAnsi"/>
          <w:sz w:val="18"/>
          <w:szCs w:val="18"/>
        </w:rPr>
      </w:pPr>
      <w:r w:rsidRPr="00641B7C">
        <w:rPr>
          <w:rFonts w:asciiTheme="majorHAnsi" w:hAnsiTheme="majorHAnsi" w:cstheme="majorHAnsi"/>
          <w:b/>
          <w:bCs/>
          <w:sz w:val="18"/>
          <w:szCs w:val="18"/>
        </w:rPr>
        <w:t>[</w:t>
      </w:r>
      <w:proofErr w:type="gramStart"/>
      <w:r w:rsidR="00125A02">
        <w:rPr>
          <w:rFonts w:asciiTheme="majorHAnsi" w:hAnsiTheme="majorHAnsi" w:cstheme="majorHAnsi"/>
          <w:b/>
          <w:bCs/>
          <w:sz w:val="18"/>
          <w:szCs w:val="18"/>
        </w:rPr>
        <w:t>h</w:t>
      </w:r>
      <w:r w:rsidR="00125A02" w:rsidRPr="00125A02">
        <w:rPr>
          <w:rFonts w:asciiTheme="majorHAnsi" w:hAnsiTheme="majorHAnsi" w:cstheme="majorHAnsi"/>
          <w:b/>
          <w:bCs/>
          <w:sz w:val="18"/>
          <w:szCs w:val="18"/>
        </w:rPr>
        <w:t>ttps://www.istor.com.tr</w:t>
      </w:r>
      <w:r w:rsidRPr="00641B7C">
        <w:rPr>
          <w:rFonts w:asciiTheme="majorHAnsi" w:hAnsiTheme="majorHAnsi" w:cstheme="majorHAnsi"/>
          <w:b/>
          <w:bCs/>
          <w:sz w:val="18"/>
          <w:szCs w:val="18"/>
        </w:rPr>
        <w:t>/hotline</w:t>
      </w:r>
      <w:proofErr w:type="gramEnd"/>
      <w:r w:rsidRPr="00641B7C">
        <w:rPr>
          <w:rFonts w:asciiTheme="majorHAnsi" w:hAnsiTheme="majorHAnsi" w:cstheme="majorHAnsi"/>
          <w:b/>
          <w:bCs/>
          <w:sz w:val="18"/>
          <w:szCs w:val="18"/>
        </w:rPr>
        <w:t>]</w:t>
      </w:r>
      <w:r w:rsidRPr="00641B7C">
        <w:rPr>
          <w:rFonts w:asciiTheme="majorHAnsi" w:hAnsiTheme="majorHAnsi" w:cstheme="majorHAnsi"/>
          <w:sz w:val="18"/>
          <w:szCs w:val="18"/>
        </w:rPr>
        <w:t xml:space="preserve"> </w:t>
      </w:r>
    </w:p>
    <w:p w14:paraId="514A8443" w14:textId="77777777" w:rsidR="004D2659" w:rsidRPr="00641B7C" w:rsidRDefault="004D2659" w:rsidP="004D2659">
      <w:pPr>
        <w:rPr>
          <w:rFonts w:asciiTheme="majorHAnsi" w:hAnsiTheme="majorHAnsi" w:cstheme="majorHAnsi"/>
          <w:sz w:val="18"/>
          <w:szCs w:val="18"/>
        </w:rPr>
      </w:pPr>
      <w:r w:rsidRPr="00641B7C">
        <w:rPr>
          <w:rFonts w:asciiTheme="majorHAnsi" w:hAnsiTheme="majorHAnsi" w:cstheme="majorHAnsi"/>
          <w:sz w:val="18"/>
          <w:szCs w:val="18"/>
        </w:rPr>
        <w:t xml:space="preserve"> </w:t>
      </w:r>
    </w:p>
    <w:p w14:paraId="32C0D675" w14:textId="77777777" w:rsidR="004D2659" w:rsidRPr="00C456D1" w:rsidRDefault="004D2659" w:rsidP="004D2659">
      <w:pPr>
        <w:rPr>
          <w:rFonts w:asciiTheme="majorHAnsi" w:hAnsiTheme="majorHAnsi" w:cstheme="majorHAnsi"/>
          <w:b/>
          <w:bCs/>
          <w:sz w:val="18"/>
          <w:szCs w:val="18"/>
        </w:rPr>
      </w:pPr>
      <w:r w:rsidRPr="00C456D1">
        <w:rPr>
          <w:rFonts w:asciiTheme="majorHAnsi" w:hAnsiTheme="majorHAnsi" w:cstheme="majorHAnsi"/>
          <w:b/>
          <w:bCs/>
          <w:sz w:val="18"/>
          <w:szCs w:val="18"/>
        </w:rPr>
        <w:t xml:space="preserve">5.Sürekli İyileştirme </w:t>
      </w:r>
    </w:p>
    <w:p w14:paraId="2AF0115C" w14:textId="658D7383" w:rsidR="004D2659" w:rsidRDefault="00125A02" w:rsidP="004D2659">
      <w:pPr>
        <w:rPr>
          <w:rFonts w:asciiTheme="majorHAnsi" w:hAnsiTheme="majorHAnsi" w:cstheme="majorHAnsi"/>
          <w:sz w:val="18"/>
          <w:szCs w:val="18"/>
        </w:rPr>
      </w:pPr>
      <w:r>
        <w:rPr>
          <w:rFonts w:asciiTheme="majorHAnsi" w:hAnsiTheme="majorHAnsi" w:cstheme="majorHAnsi"/>
          <w:sz w:val="18"/>
          <w:szCs w:val="18"/>
        </w:rPr>
        <w:t>İstor Kuyumculuk</w:t>
      </w:r>
      <w:r w:rsidR="004D2659" w:rsidRPr="00641B7C">
        <w:rPr>
          <w:rFonts w:asciiTheme="majorHAnsi" w:hAnsiTheme="majorHAnsi" w:cstheme="majorHAnsi"/>
          <w:sz w:val="18"/>
          <w:szCs w:val="18"/>
        </w:rPr>
        <w:t>, çocuk işçiliğiyle mücadelede sürekli iyileştirme ve en iyi uygulamaların benimsenmesini sağlamak için politikalarını ve uygulamalarını düzenli olarak gözden geçirir ve günceller.</w:t>
      </w:r>
    </w:p>
    <w:p w14:paraId="56D6BB81" w14:textId="77777777" w:rsidR="004D2659" w:rsidRDefault="004D2659" w:rsidP="004D2659">
      <w:pPr>
        <w:rPr>
          <w:rFonts w:asciiTheme="majorHAnsi" w:hAnsiTheme="majorHAnsi" w:cstheme="majorHAnsi"/>
          <w:sz w:val="18"/>
          <w:szCs w:val="18"/>
        </w:rPr>
      </w:pPr>
    </w:p>
    <w:p w14:paraId="06E42FD7" w14:textId="77777777" w:rsidR="004D2659" w:rsidRPr="00C456D1" w:rsidRDefault="004D2659" w:rsidP="004D2659">
      <w:pPr>
        <w:rPr>
          <w:rFonts w:asciiTheme="majorHAnsi" w:hAnsiTheme="majorHAnsi" w:cstheme="majorHAnsi"/>
          <w:b/>
          <w:bCs/>
          <w:sz w:val="18"/>
          <w:szCs w:val="18"/>
        </w:rPr>
      </w:pPr>
      <w:r w:rsidRPr="00C456D1">
        <w:rPr>
          <w:rFonts w:asciiTheme="majorHAnsi" w:hAnsiTheme="majorHAnsi" w:cstheme="majorHAnsi"/>
          <w:b/>
          <w:bCs/>
          <w:sz w:val="18"/>
          <w:szCs w:val="18"/>
        </w:rPr>
        <w:t xml:space="preserve">6. Politika Gözden Geçirme </w:t>
      </w:r>
    </w:p>
    <w:p w14:paraId="7B0BF4C3" w14:textId="77777777" w:rsidR="004D2659" w:rsidRDefault="004D2659" w:rsidP="004D2659">
      <w:pPr>
        <w:rPr>
          <w:rFonts w:asciiTheme="majorHAnsi" w:hAnsiTheme="majorHAnsi" w:cstheme="majorHAnsi"/>
          <w:sz w:val="18"/>
          <w:szCs w:val="18"/>
        </w:rPr>
      </w:pPr>
      <w:r w:rsidRPr="00641B7C">
        <w:rPr>
          <w:rFonts w:asciiTheme="majorHAnsi" w:hAnsiTheme="majorHAnsi" w:cstheme="majorHAnsi"/>
          <w:sz w:val="18"/>
          <w:szCs w:val="18"/>
        </w:rPr>
        <w:t>Çocuk işçiliği ile ilgili güncel rehberlik ve standartlara uygun olarak çocuk işçiliği politikamız düzenli olarak gözden geçirilip güncellenecektir.</w:t>
      </w:r>
      <w:r>
        <w:rPr>
          <w:rFonts w:asciiTheme="majorHAnsi" w:hAnsiTheme="majorHAnsi" w:cstheme="majorHAnsi"/>
          <w:sz w:val="18"/>
          <w:szCs w:val="18"/>
        </w:rPr>
        <w:t xml:space="preserve"> </w:t>
      </w:r>
    </w:p>
    <w:p w14:paraId="14B9DCBF" w14:textId="77777777" w:rsidR="004D2659" w:rsidRDefault="004D2659" w:rsidP="004D2659">
      <w:pPr>
        <w:rPr>
          <w:rFonts w:asciiTheme="majorHAnsi" w:hAnsiTheme="majorHAnsi" w:cstheme="majorHAnsi"/>
          <w:sz w:val="18"/>
          <w:szCs w:val="18"/>
        </w:rPr>
      </w:pPr>
    </w:p>
    <w:p w14:paraId="3645CCDC" w14:textId="77777777" w:rsidR="00DF478C" w:rsidRDefault="00DF478C" w:rsidP="004D2659">
      <w:pPr>
        <w:rPr>
          <w:rFonts w:asciiTheme="majorHAnsi" w:hAnsiTheme="majorHAnsi" w:cstheme="majorHAnsi"/>
          <w:sz w:val="18"/>
          <w:szCs w:val="18"/>
        </w:rPr>
      </w:pPr>
    </w:p>
    <w:p w14:paraId="39564143" w14:textId="286109D0" w:rsidR="004D2659" w:rsidRDefault="004D2659" w:rsidP="004D2659">
      <w:pPr>
        <w:rPr>
          <w:rFonts w:asciiTheme="majorHAnsi" w:hAnsiTheme="majorHAnsi" w:cstheme="majorHAnsi"/>
          <w:sz w:val="18"/>
          <w:szCs w:val="18"/>
        </w:rPr>
      </w:pPr>
      <w:r w:rsidRPr="00641B7C">
        <w:rPr>
          <w:rFonts w:asciiTheme="majorHAnsi" w:hAnsiTheme="majorHAnsi" w:cstheme="majorHAnsi"/>
          <w:sz w:val="18"/>
          <w:szCs w:val="18"/>
        </w:rPr>
        <w:t xml:space="preserve">Bu politika, </w:t>
      </w:r>
      <w:r w:rsidR="00125A02">
        <w:rPr>
          <w:rFonts w:asciiTheme="majorHAnsi" w:hAnsiTheme="majorHAnsi" w:cstheme="majorHAnsi"/>
          <w:sz w:val="18"/>
          <w:szCs w:val="18"/>
        </w:rPr>
        <w:t>İstor Kuyumculuk</w:t>
      </w:r>
      <w:r w:rsidRPr="00641B7C">
        <w:rPr>
          <w:rFonts w:asciiTheme="majorHAnsi" w:hAnsiTheme="majorHAnsi" w:cstheme="majorHAnsi"/>
          <w:sz w:val="18"/>
          <w:szCs w:val="18"/>
        </w:rPr>
        <w:t>'</w:t>
      </w:r>
      <w:r w:rsidR="00766398">
        <w:rPr>
          <w:rFonts w:asciiTheme="majorHAnsi" w:hAnsiTheme="majorHAnsi" w:cstheme="majorHAnsi"/>
          <w:sz w:val="18"/>
          <w:szCs w:val="18"/>
        </w:rPr>
        <w:t xml:space="preserve"> un</w:t>
      </w:r>
      <w:r w:rsidRPr="00641B7C">
        <w:rPr>
          <w:rFonts w:asciiTheme="majorHAnsi" w:hAnsiTheme="majorHAnsi" w:cstheme="majorHAnsi"/>
          <w:sz w:val="18"/>
          <w:szCs w:val="18"/>
        </w:rPr>
        <w:t xml:space="preserve"> çocuk işçiliğine karşı net ve kesin tutumunu gösterir. Şirket olarak, çocuk haklarını koruma ve destekleme konusundaki uluslararası çabalara katkıda bulunmaya kararlıyız.</w:t>
      </w:r>
    </w:p>
    <w:p w14:paraId="6D8A16F8" w14:textId="77777777" w:rsidR="00562DE6" w:rsidRDefault="00562DE6" w:rsidP="00562DE6">
      <w:pPr>
        <w:rPr>
          <w:rFonts w:asciiTheme="majorHAnsi" w:hAnsiTheme="majorHAnsi" w:cstheme="majorHAnsi"/>
          <w:sz w:val="18"/>
          <w:szCs w:val="18"/>
          <w:lang w:val="en-US"/>
        </w:rPr>
      </w:pPr>
    </w:p>
    <w:p w14:paraId="4CBAF768" w14:textId="77777777" w:rsidR="00562DE6" w:rsidRDefault="00562DE6" w:rsidP="00562DE6">
      <w:pPr>
        <w:rPr>
          <w:rFonts w:asciiTheme="majorHAnsi" w:hAnsiTheme="majorHAnsi" w:cstheme="majorHAnsi"/>
          <w:sz w:val="18"/>
          <w:szCs w:val="18"/>
          <w:lang w:val="en-US"/>
        </w:rPr>
      </w:pPr>
    </w:p>
    <w:p w14:paraId="3BB23363" w14:textId="77777777" w:rsidR="00562DE6" w:rsidRDefault="00562DE6" w:rsidP="00562DE6">
      <w:pPr>
        <w:rPr>
          <w:rFonts w:asciiTheme="majorHAnsi" w:hAnsiTheme="majorHAnsi" w:cstheme="majorHAnsi"/>
          <w:sz w:val="18"/>
          <w:szCs w:val="18"/>
          <w:lang w:val="en-US"/>
        </w:rPr>
      </w:pPr>
    </w:p>
    <w:p w14:paraId="3E6A384E" w14:textId="77777777" w:rsidR="00562DE6" w:rsidRPr="00F827B2" w:rsidRDefault="00562DE6" w:rsidP="00562DE6">
      <w:pPr>
        <w:rPr>
          <w:rFonts w:asciiTheme="majorHAnsi" w:hAnsiTheme="majorHAnsi" w:cstheme="majorHAnsi"/>
          <w:sz w:val="18"/>
          <w:szCs w:val="18"/>
          <w:lang w:val="en-US"/>
        </w:rPr>
      </w:pPr>
    </w:p>
    <w:p w14:paraId="0BFECBED" w14:textId="77777777" w:rsidR="00562DE6" w:rsidRDefault="00562DE6" w:rsidP="00562DE6">
      <w:pPr>
        <w:rPr>
          <w:rFonts w:asciiTheme="majorHAnsi" w:hAnsiTheme="majorHAnsi" w:cstheme="majorHAnsi"/>
          <w:b/>
          <w:bCs/>
          <w:noProof/>
          <w:sz w:val="18"/>
          <w:szCs w:val="18"/>
        </w:rPr>
      </w:pPr>
      <w:r w:rsidRPr="00A2140E">
        <w:rPr>
          <w:rFonts w:asciiTheme="majorHAnsi" w:hAnsiTheme="majorHAnsi" w:cstheme="majorHAnsi"/>
          <w:b/>
          <w:bCs/>
          <w:noProof/>
          <w:sz w:val="18"/>
          <w:szCs w:val="18"/>
        </w:rPr>
        <mc:AlternateContent>
          <mc:Choice Requires="wps">
            <w:drawing>
              <wp:anchor distT="0" distB="0" distL="114300" distR="114300" simplePos="0" relativeHeight="251659264" behindDoc="0" locked="0" layoutInCell="1" allowOverlap="1" wp14:anchorId="3F8187B6" wp14:editId="674020EA">
                <wp:simplePos x="0" y="0"/>
                <wp:positionH relativeFrom="margin">
                  <wp:align>right</wp:align>
                </wp:positionH>
                <wp:positionV relativeFrom="paragraph">
                  <wp:posOffset>62715</wp:posOffset>
                </wp:positionV>
                <wp:extent cx="2432050" cy="889000"/>
                <wp:effectExtent l="0" t="0" r="25400" b="25400"/>
                <wp:wrapNone/>
                <wp:docPr id="862864787" name="Dikdörtgen 3"/>
                <wp:cNvGraphicFramePr/>
                <a:graphic xmlns:a="http://schemas.openxmlformats.org/drawingml/2006/main">
                  <a:graphicData uri="http://schemas.microsoft.com/office/word/2010/wordprocessingShape">
                    <wps:wsp>
                      <wps:cNvSpPr/>
                      <wps:spPr>
                        <a:xfrm>
                          <a:off x="0" y="0"/>
                          <a:ext cx="2432050" cy="889000"/>
                        </a:xfrm>
                        <a:prstGeom prst="rect">
                          <a:avLst/>
                        </a:prstGeom>
                        <a:noFill/>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D03532" id="Dikdörtgen 3" o:spid="_x0000_s1026" style="position:absolute;margin-left:140.3pt;margin-top:4.95pt;width:191.5pt;height:70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" filled="f" strokecolor="#bfbfbf [2412]" strokeweight="1pt">
                <w10:wrap anchorx="margin"/>
              </v:rect>
            </w:pict>
          </mc:Fallback>
        </mc:AlternateContent>
      </w:r>
      <w:r>
        <w:rPr>
          <w:rFonts w:asciiTheme="majorHAnsi" w:hAnsiTheme="majorHAnsi" w:cstheme="majorHAnsi"/>
          <w:b/>
          <w:bCs/>
          <w:noProof/>
          <w:sz w:val="18"/>
          <w:szCs w:val="18"/>
        </w:rPr>
        <w:tab/>
      </w:r>
      <w:r>
        <w:rPr>
          <w:rFonts w:asciiTheme="majorHAnsi" w:hAnsiTheme="majorHAnsi" w:cstheme="majorHAnsi"/>
          <w:b/>
          <w:bCs/>
          <w:noProof/>
          <w:sz w:val="18"/>
          <w:szCs w:val="18"/>
        </w:rPr>
        <w:tab/>
      </w:r>
      <w:r>
        <w:rPr>
          <w:rFonts w:asciiTheme="majorHAnsi" w:hAnsiTheme="majorHAnsi" w:cstheme="majorHAnsi"/>
          <w:b/>
          <w:bCs/>
          <w:noProof/>
          <w:sz w:val="18"/>
          <w:szCs w:val="18"/>
        </w:rPr>
        <w:tab/>
      </w:r>
      <w:r>
        <w:rPr>
          <w:rFonts w:asciiTheme="majorHAnsi" w:hAnsiTheme="majorHAnsi" w:cstheme="majorHAnsi"/>
          <w:b/>
          <w:bCs/>
          <w:noProof/>
          <w:sz w:val="18"/>
          <w:szCs w:val="18"/>
        </w:rPr>
        <w:tab/>
      </w:r>
      <w:r>
        <w:rPr>
          <w:rFonts w:asciiTheme="majorHAnsi" w:hAnsiTheme="majorHAnsi" w:cstheme="majorHAnsi"/>
          <w:b/>
          <w:bCs/>
          <w:noProof/>
          <w:sz w:val="18"/>
          <w:szCs w:val="18"/>
        </w:rPr>
        <w:tab/>
      </w:r>
      <w:r>
        <w:rPr>
          <w:rFonts w:asciiTheme="majorHAnsi" w:hAnsiTheme="majorHAnsi" w:cstheme="majorHAnsi"/>
          <w:b/>
          <w:bCs/>
          <w:noProof/>
          <w:sz w:val="18"/>
          <w:szCs w:val="18"/>
        </w:rPr>
        <w:tab/>
      </w:r>
      <w:r>
        <w:rPr>
          <w:rFonts w:asciiTheme="majorHAnsi" w:hAnsiTheme="majorHAnsi" w:cstheme="majorHAnsi"/>
          <w:b/>
          <w:bCs/>
          <w:noProof/>
          <w:sz w:val="18"/>
          <w:szCs w:val="18"/>
        </w:rPr>
        <w:tab/>
      </w:r>
      <w:r>
        <w:rPr>
          <w:rFonts w:asciiTheme="majorHAnsi" w:hAnsiTheme="majorHAnsi" w:cstheme="majorHAnsi"/>
          <w:b/>
          <w:bCs/>
          <w:noProof/>
          <w:sz w:val="18"/>
          <w:szCs w:val="18"/>
        </w:rPr>
        <w:tab/>
      </w:r>
    </w:p>
    <w:p w14:paraId="429D04DA" w14:textId="77777777" w:rsidR="0085017B" w:rsidRDefault="0085017B" w:rsidP="0085017B">
      <w:pPr>
        <w:rPr>
          <w:rFonts w:asciiTheme="majorHAnsi" w:hAnsiTheme="majorHAnsi" w:cstheme="majorHAnsi"/>
          <w:b/>
          <w:bCs/>
          <w:noProof/>
          <w:sz w:val="18"/>
          <w:szCs w:val="18"/>
        </w:rPr>
      </w:pPr>
    </w:p>
    <w:p w14:paraId="32AFAD8E" w14:textId="6FCA654C" w:rsidR="0085017B" w:rsidRDefault="0085017B" w:rsidP="0085017B">
      <w:pPr>
        <w:rPr>
          <w:rFonts w:asciiTheme="majorHAnsi" w:hAnsiTheme="majorHAnsi" w:cstheme="majorHAnsi"/>
          <w:b/>
          <w:bCs/>
          <w:noProof/>
          <w:sz w:val="18"/>
          <w:szCs w:val="18"/>
        </w:rPr>
      </w:pPr>
      <w:r w:rsidRPr="00346ED5">
        <w:rPr>
          <w:rFonts w:asciiTheme="majorHAnsi" w:hAnsiTheme="majorHAnsi" w:cstheme="majorHAnsi"/>
          <w:b/>
          <w:bCs/>
          <w:noProof/>
          <w:sz w:val="18"/>
          <w:szCs w:val="18"/>
        </w:rPr>
        <w:t>CEO VE YÖNETİM KURULU TARAFINDAN ONAYLANDI</w:t>
      </w:r>
    </w:p>
    <w:p w14:paraId="1ED181AE" w14:textId="77777777" w:rsidR="00562DE6" w:rsidRPr="00F827B2" w:rsidRDefault="00562DE6" w:rsidP="00562DE6">
      <w:pPr>
        <w:rPr>
          <w:rFonts w:asciiTheme="majorHAnsi" w:hAnsiTheme="majorHAnsi" w:cstheme="majorHAnsi"/>
          <w:b/>
          <w:bCs/>
          <w:sz w:val="18"/>
          <w:szCs w:val="18"/>
        </w:rPr>
      </w:pPr>
    </w:p>
    <w:p w14:paraId="5BF133D8" w14:textId="6153C4DD" w:rsidR="00562DE6" w:rsidRDefault="00562DE6" w:rsidP="00562DE6">
      <w:pPr>
        <w:rPr>
          <w:rFonts w:asciiTheme="majorHAnsi" w:hAnsiTheme="majorHAnsi" w:cstheme="majorHAnsi"/>
          <w:b/>
          <w:bCs/>
          <w:sz w:val="18"/>
          <w:szCs w:val="18"/>
        </w:rPr>
      </w:pPr>
      <w:r w:rsidRPr="00562DE6">
        <w:rPr>
          <w:rFonts w:asciiTheme="majorHAnsi" w:hAnsiTheme="majorHAnsi" w:cstheme="majorHAnsi"/>
          <w:b/>
          <w:bCs/>
          <w:sz w:val="18"/>
          <w:szCs w:val="18"/>
        </w:rPr>
        <w:t>İstor Kuyumculuk Sanayi ve Ticaret Anonim Şirketi</w:t>
      </w:r>
    </w:p>
    <w:p w14:paraId="4FAE0F86" w14:textId="77777777" w:rsidR="00562DE6" w:rsidRDefault="00562DE6" w:rsidP="00562DE6">
      <w:pPr>
        <w:rPr>
          <w:rFonts w:asciiTheme="majorHAnsi" w:hAnsiTheme="majorHAnsi" w:cstheme="majorHAnsi"/>
          <w:b/>
          <w:bCs/>
          <w:sz w:val="18"/>
          <w:szCs w:val="18"/>
        </w:rPr>
      </w:pPr>
    </w:p>
    <w:p w14:paraId="01C9C0C5" w14:textId="77777777" w:rsidR="00562DE6" w:rsidRDefault="00562DE6" w:rsidP="00562DE6">
      <w:pPr>
        <w:jc w:val="center"/>
        <w:rPr>
          <w:rFonts w:asciiTheme="majorHAnsi" w:hAnsiTheme="majorHAnsi" w:cstheme="majorHAnsi"/>
          <w:i/>
          <w:iCs/>
          <w:sz w:val="18"/>
          <w:szCs w:val="18"/>
        </w:rPr>
      </w:pPr>
    </w:p>
    <w:p w14:paraId="33F4FFF0" w14:textId="77777777" w:rsidR="00562DE6" w:rsidRDefault="00562DE6" w:rsidP="00562DE6">
      <w:pPr>
        <w:jc w:val="center"/>
        <w:rPr>
          <w:rFonts w:asciiTheme="majorHAnsi" w:hAnsiTheme="majorHAnsi" w:cstheme="majorHAnsi"/>
          <w:i/>
          <w:iCs/>
          <w:sz w:val="18"/>
          <w:szCs w:val="18"/>
        </w:rPr>
      </w:pPr>
    </w:p>
    <w:p w14:paraId="590B60C5" w14:textId="77777777" w:rsidR="00562DE6" w:rsidRDefault="00562DE6" w:rsidP="00562DE6">
      <w:pPr>
        <w:jc w:val="center"/>
        <w:rPr>
          <w:rFonts w:asciiTheme="majorHAnsi" w:hAnsiTheme="majorHAnsi" w:cstheme="majorHAnsi"/>
          <w:i/>
          <w:iCs/>
          <w:sz w:val="18"/>
          <w:szCs w:val="18"/>
        </w:rPr>
      </w:pPr>
    </w:p>
    <w:p w14:paraId="3776FBC4" w14:textId="77777777" w:rsidR="00562DE6" w:rsidRDefault="00562DE6" w:rsidP="00562DE6">
      <w:pPr>
        <w:rPr>
          <w:rFonts w:asciiTheme="majorHAnsi" w:hAnsiTheme="majorHAnsi" w:cstheme="majorHAnsi"/>
          <w:i/>
          <w:iCs/>
          <w:sz w:val="18"/>
          <w:szCs w:val="18"/>
        </w:rPr>
      </w:pPr>
    </w:p>
    <w:p w14:paraId="6AA5700F" w14:textId="00D4325A" w:rsidR="00562DE6" w:rsidRDefault="00562DE6" w:rsidP="00562DE6">
      <w:pPr>
        <w:jc w:val="center"/>
        <w:rPr>
          <w:rFonts w:asciiTheme="majorHAnsi" w:hAnsiTheme="majorHAnsi" w:cstheme="majorHAnsi"/>
          <w:i/>
          <w:iCs/>
          <w:sz w:val="18"/>
          <w:szCs w:val="18"/>
        </w:rPr>
      </w:pPr>
      <w:r w:rsidRPr="00562DE6">
        <w:rPr>
          <w:rFonts w:asciiTheme="majorHAnsi" w:hAnsiTheme="majorHAnsi" w:cstheme="majorHAnsi"/>
          <w:i/>
          <w:iCs/>
          <w:sz w:val="18"/>
          <w:szCs w:val="18"/>
        </w:rPr>
        <w:t>İSTOR KUYUMCULUK</w:t>
      </w:r>
      <w:r>
        <w:rPr>
          <w:rFonts w:asciiTheme="majorHAnsi" w:hAnsiTheme="majorHAnsi" w:cstheme="majorHAnsi"/>
          <w:i/>
          <w:iCs/>
          <w:sz w:val="18"/>
          <w:szCs w:val="18"/>
        </w:rPr>
        <w:t xml:space="preserve"> </w:t>
      </w:r>
      <w:r w:rsidR="00A977BC" w:rsidRPr="00346ED5">
        <w:rPr>
          <w:rFonts w:asciiTheme="majorHAnsi" w:hAnsiTheme="majorHAnsi" w:cstheme="majorHAnsi"/>
          <w:i/>
          <w:iCs/>
          <w:sz w:val="18"/>
          <w:szCs w:val="18"/>
        </w:rPr>
        <w:t>YÖNETİM KURULU TARAFINDAN HAZIRLANMIŞ VE ONAYLANMIŞTIR</w:t>
      </w:r>
    </w:p>
    <w:p w14:paraId="01D96EB5" w14:textId="1B52D55A" w:rsidR="00F01972" w:rsidRPr="00562DE6" w:rsidRDefault="00F01972" w:rsidP="00562DE6">
      <w:pPr>
        <w:tabs>
          <w:tab w:val="left" w:pos="3056"/>
        </w:tabs>
        <w:rPr>
          <w:rFonts w:asciiTheme="majorHAnsi" w:hAnsiTheme="majorHAnsi" w:cstheme="majorHAnsi"/>
          <w:sz w:val="18"/>
          <w:szCs w:val="18"/>
        </w:rPr>
      </w:pPr>
    </w:p>
    <w:sectPr w:rsidR="00F01972" w:rsidRPr="00562DE6" w:rsidSect="006E01E5">
      <w:headerReference w:type="default" r:id="rId7"/>
      <w:pgSz w:w="11906" w:h="16838"/>
      <w:pgMar w:top="1417" w:right="1417" w:bottom="1417" w:left="1417" w:header="708" w:footer="162" w:gutter="0"/>
      <w:pgBorders w:offsetFrom="page">
        <w:top w:val="single" w:sz="18" w:space="24" w:color="D9D4C7" w:themeColor="accent5" w:themeTint="66"/>
        <w:left w:val="single" w:sz="18" w:space="24" w:color="D9D4C7" w:themeColor="accent5" w:themeTint="66"/>
        <w:bottom w:val="single" w:sz="18" w:space="24" w:color="D9D4C7" w:themeColor="accent5" w:themeTint="66"/>
        <w:right w:val="single" w:sz="18" w:space="24" w:color="D9D4C7" w:themeColor="accent5"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A3BA4" w14:textId="77777777" w:rsidR="009004B4" w:rsidRDefault="009004B4" w:rsidP="0007329C">
      <w:r>
        <w:separator/>
      </w:r>
    </w:p>
  </w:endnote>
  <w:endnote w:type="continuationSeparator" w:id="0">
    <w:p w14:paraId="30DAAFFD" w14:textId="77777777" w:rsidR="009004B4" w:rsidRDefault="009004B4" w:rsidP="0007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18B8B" w14:textId="77777777" w:rsidR="009004B4" w:rsidRDefault="009004B4" w:rsidP="0007329C">
      <w:r>
        <w:separator/>
      </w:r>
    </w:p>
  </w:footnote>
  <w:footnote w:type="continuationSeparator" w:id="0">
    <w:p w14:paraId="76C9AF98" w14:textId="77777777" w:rsidR="009004B4" w:rsidRDefault="009004B4" w:rsidP="00073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Look w:val="04A0" w:firstRow="1" w:lastRow="0" w:firstColumn="1" w:lastColumn="0" w:noHBand="0" w:noVBand="1"/>
    </w:tblPr>
    <w:tblGrid>
      <w:gridCol w:w="2466"/>
      <w:gridCol w:w="3857"/>
      <w:gridCol w:w="2749"/>
    </w:tblGrid>
    <w:tr w:rsidR="00702450" w:rsidRPr="0007329C" w14:paraId="7531FBBF" w14:textId="77777777" w:rsidTr="004202A0">
      <w:trPr>
        <w:trHeight w:val="1134"/>
      </w:trPr>
      <w:tc>
        <w:tcPr>
          <w:tcW w:w="2466" w:type="dxa"/>
          <w:tcBorders>
            <w:top w:val="nil"/>
            <w:left w:val="nil"/>
            <w:bottom w:val="nil"/>
            <w:right w:val="nil"/>
          </w:tcBorders>
          <w:vAlign w:val="center"/>
        </w:tcPr>
        <w:p w14:paraId="40838DD2" w14:textId="6B4DF3DB" w:rsidR="0007329C" w:rsidRPr="00B87C1E" w:rsidRDefault="00702450" w:rsidP="00B87C1E">
          <w:pPr>
            <w:pStyle w:val="stBilgi"/>
            <w:rPr>
              <w:rFonts w:ascii="Tahoma" w:hAnsi="Tahoma" w:cs="Tahoma"/>
              <w:noProof/>
              <w:sz w:val="20"/>
              <w:szCs w:val="20"/>
            </w:rPr>
          </w:pPr>
          <w:r>
            <w:rPr>
              <w:rFonts w:ascii="Tahoma" w:hAnsi="Tahoma" w:cs="Tahoma"/>
              <w:noProof/>
              <w:sz w:val="20"/>
              <w:szCs w:val="20"/>
            </w:rPr>
            <w:drawing>
              <wp:inline distT="0" distB="0" distL="0" distR="0" wp14:anchorId="289107E7" wp14:editId="4F64C36A">
                <wp:extent cx="1428750" cy="725557"/>
                <wp:effectExtent l="0" t="0" r="0" b="0"/>
                <wp:docPr id="109338347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383475" name="Resim 1093383475"/>
                        <pic:cNvPicPr/>
                      </pic:nvPicPr>
                      <pic:blipFill>
                        <a:blip r:embed="rId1">
                          <a:extLst>
                            <a:ext uri="{28A0092B-C50C-407E-A947-70E740481C1C}">
                              <a14:useLocalDpi xmlns:a14="http://schemas.microsoft.com/office/drawing/2010/main" val="0"/>
                            </a:ext>
                          </a:extLst>
                        </a:blip>
                        <a:stretch>
                          <a:fillRect/>
                        </a:stretch>
                      </pic:blipFill>
                      <pic:spPr>
                        <a:xfrm>
                          <a:off x="0" y="0"/>
                          <a:ext cx="1517984" cy="770872"/>
                        </a:xfrm>
                        <a:prstGeom prst="rect">
                          <a:avLst/>
                        </a:prstGeom>
                      </pic:spPr>
                    </pic:pic>
                  </a:graphicData>
                </a:graphic>
              </wp:inline>
            </w:drawing>
          </w:r>
        </w:p>
      </w:tc>
      <w:tc>
        <w:tcPr>
          <w:tcW w:w="6606" w:type="dxa"/>
          <w:gridSpan w:val="2"/>
          <w:tcBorders>
            <w:top w:val="nil"/>
            <w:left w:val="nil"/>
            <w:bottom w:val="nil"/>
            <w:right w:val="nil"/>
          </w:tcBorders>
          <w:shd w:val="clear" w:color="auto" w:fill="D9D4C7" w:themeFill="accent5" w:themeFillTint="66"/>
          <w:vAlign w:val="center"/>
        </w:tcPr>
        <w:p w14:paraId="29B3E3AC" w14:textId="622B95ED" w:rsidR="001968D8" w:rsidRPr="0007329C" w:rsidRDefault="00004EAA" w:rsidP="004202A0">
          <w:pPr>
            <w:pStyle w:val="stBilgi"/>
            <w:jc w:val="center"/>
            <w:rPr>
              <w:rFonts w:asciiTheme="majorHAnsi" w:hAnsiTheme="majorHAnsi" w:cstheme="majorHAnsi"/>
            </w:rPr>
          </w:pPr>
          <w:r w:rsidRPr="00467EF1">
            <w:rPr>
              <w:rFonts w:asciiTheme="majorHAnsi" w:hAnsiTheme="majorHAnsi" w:cstheme="majorHAnsi"/>
            </w:rPr>
            <w:t>ÇOCUK İŞÇİLİĞİ</w:t>
          </w:r>
          <w:r>
            <w:rPr>
              <w:rFonts w:asciiTheme="majorHAnsi" w:hAnsiTheme="majorHAnsi" w:cstheme="majorHAnsi"/>
            </w:rPr>
            <w:t xml:space="preserve"> POLİTİKASI</w:t>
          </w:r>
        </w:p>
      </w:tc>
    </w:tr>
    <w:tr w:rsidR="00A321A8" w:rsidRPr="0007329C" w14:paraId="5615EC47" w14:textId="77777777" w:rsidTr="004202A0">
      <w:trPr>
        <w:trHeight w:val="283"/>
      </w:trPr>
      <w:tc>
        <w:tcPr>
          <w:tcW w:w="6323" w:type="dxa"/>
          <w:gridSpan w:val="2"/>
          <w:tcBorders>
            <w:top w:val="nil"/>
            <w:left w:val="nil"/>
            <w:bottom w:val="nil"/>
            <w:right w:val="nil"/>
          </w:tcBorders>
          <w:shd w:val="clear" w:color="auto" w:fill="ECE9E3" w:themeFill="accent5" w:themeFillTint="33"/>
          <w:vAlign w:val="center"/>
        </w:tcPr>
        <w:p w14:paraId="508D8030" w14:textId="1D6922EE" w:rsidR="00A321A8" w:rsidRPr="0037789E" w:rsidRDefault="00A321A8" w:rsidP="00A321A8">
          <w:pPr>
            <w:pStyle w:val="stBilgi"/>
            <w:rPr>
              <w:rFonts w:asciiTheme="majorHAnsi" w:hAnsiTheme="majorHAnsi" w:cstheme="majorHAnsi"/>
              <w:sz w:val="14"/>
              <w:szCs w:val="14"/>
            </w:rPr>
          </w:pPr>
          <w:r>
            <w:rPr>
              <w:rFonts w:asciiTheme="majorHAnsi" w:hAnsiTheme="majorHAnsi" w:cstheme="majorHAnsi"/>
              <w:sz w:val="14"/>
              <w:szCs w:val="14"/>
            </w:rPr>
            <w:t>PL</w:t>
          </w:r>
          <w:r w:rsidRPr="007F3106">
            <w:rPr>
              <w:rFonts w:asciiTheme="majorHAnsi" w:hAnsiTheme="majorHAnsi" w:cstheme="majorHAnsi"/>
              <w:sz w:val="14"/>
              <w:szCs w:val="14"/>
            </w:rPr>
            <w:t>.</w:t>
          </w:r>
          <w:r w:rsidR="00004EAA">
            <w:rPr>
              <w:rFonts w:asciiTheme="majorHAnsi" w:hAnsiTheme="majorHAnsi" w:cstheme="majorHAnsi"/>
              <w:sz w:val="14"/>
              <w:szCs w:val="14"/>
            </w:rPr>
            <w:t>02</w:t>
          </w:r>
          <w:r w:rsidRPr="007F3106">
            <w:rPr>
              <w:rFonts w:asciiTheme="majorHAnsi" w:hAnsiTheme="majorHAnsi" w:cstheme="majorHAnsi"/>
              <w:sz w:val="14"/>
              <w:szCs w:val="14"/>
            </w:rPr>
            <w:t xml:space="preserve"> | Yayın Tarihi: </w:t>
          </w:r>
          <w:r>
            <w:rPr>
              <w:rFonts w:asciiTheme="majorHAnsi" w:hAnsiTheme="majorHAnsi" w:cstheme="majorHAnsi"/>
              <w:sz w:val="14"/>
              <w:szCs w:val="14"/>
            </w:rPr>
            <w:t>03.01</w:t>
          </w:r>
          <w:r w:rsidRPr="007F3106">
            <w:rPr>
              <w:rFonts w:asciiTheme="majorHAnsi" w:hAnsiTheme="majorHAnsi" w:cstheme="majorHAnsi"/>
              <w:sz w:val="14"/>
              <w:szCs w:val="14"/>
            </w:rPr>
            <w:t>.202</w:t>
          </w:r>
          <w:r>
            <w:rPr>
              <w:rFonts w:asciiTheme="majorHAnsi" w:hAnsiTheme="majorHAnsi" w:cstheme="majorHAnsi"/>
              <w:sz w:val="14"/>
              <w:szCs w:val="14"/>
            </w:rPr>
            <w:t>5</w:t>
          </w:r>
          <w:r w:rsidRPr="007F3106">
            <w:rPr>
              <w:rFonts w:asciiTheme="majorHAnsi" w:hAnsiTheme="majorHAnsi" w:cstheme="majorHAnsi"/>
              <w:sz w:val="14"/>
              <w:szCs w:val="14"/>
            </w:rPr>
            <w:t xml:space="preserve"> | R.00 | Revizyon </w:t>
          </w:r>
          <w:proofErr w:type="gramStart"/>
          <w:r w:rsidRPr="007F3106">
            <w:rPr>
              <w:rFonts w:asciiTheme="majorHAnsi" w:hAnsiTheme="majorHAnsi" w:cstheme="majorHAnsi"/>
              <w:sz w:val="14"/>
              <w:szCs w:val="14"/>
            </w:rPr>
            <w:t>Tarihi:</w:t>
          </w:r>
          <w:r w:rsidR="00004EAA">
            <w:rPr>
              <w:rFonts w:asciiTheme="majorHAnsi" w:hAnsiTheme="majorHAnsi" w:cstheme="majorHAnsi"/>
              <w:sz w:val="14"/>
              <w:szCs w:val="14"/>
            </w:rPr>
            <w:t xml:space="preserve"> </w:t>
          </w:r>
          <w:r w:rsidRPr="007F3106">
            <w:rPr>
              <w:rFonts w:asciiTheme="majorHAnsi" w:hAnsiTheme="majorHAnsi" w:cstheme="majorHAnsi"/>
              <w:sz w:val="14"/>
              <w:szCs w:val="14"/>
            </w:rPr>
            <w:t xml:space="preserve"> -</w:t>
          </w:r>
          <w:proofErr w:type="gramEnd"/>
          <w:r>
            <w:rPr>
              <w:rFonts w:asciiTheme="majorHAnsi" w:hAnsiTheme="majorHAnsi" w:cstheme="majorHAnsi"/>
              <w:sz w:val="14"/>
              <w:szCs w:val="14"/>
            </w:rPr>
            <w:t xml:space="preserve"> | Gözden Geçirme: 02.06.2025</w:t>
          </w:r>
        </w:p>
      </w:tc>
      <w:tc>
        <w:tcPr>
          <w:tcW w:w="2749" w:type="dxa"/>
          <w:tcBorders>
            <w:top w:val="nil"/>
            <w:left w:val="nil"/>
            <w:bottom w:val="nil"/>
            <w:right w:val="nil"/>
          </w:tcBorders>
          <w:shd w:val="clear" w:color="auto" w:fill="ECE9E3" w:themeFill="accent5" w:themeFillTint="33"/>
          <w:vAlign w:val="center"/>
        </w:tcPr>
        <w:p w14:paraId="1993CC6B" w14:textId="40AA7C07" w:rsidR="00A321A8" w:rsidRPr="0037789E" w:rsidRDefault="00A321A8" w:rsidP="00A321A8">
          <w:pPr>
            <w:pStyle w:val="stBilgi"/>
            <w:jc w:val="right"/>
            <w:rPr>
              <w:rFonts w:asciiTheme="majorHAnsi" w:hAnsiTheme="majorHAnsi" w:cstheme="majorHAnsi"/>
              <w:sz w:val="14"/>
              <w:szCs w:val="14"/>
            </w:rPr>
          </w:pPr>
          <w:r w:rsidRPr="0037789E">
            <w:rPr>
              <w:rFonts w:asciiTheme="majorHAnsi" w:hAnsiTheme="majorHAnsi" w:cstheme="majorHAnsi"/>
              <w:kern w:val="0"/>
              <w:sz w:val="14"/>
              <w:szCs w:val="14"/>
            </w:rPr>
            <w:t xml:space="preserve">Sayfa </w:t>
          </w:r>
          <w:r w:rsidRPr="0037789E">
            <w:rPr>
              <w:rFonts w:asciiTheme="majorHAnsi" w:hAnsiTheme="majorHAnsi" w:cstheme="majorHAnsi"/>
              <w:kern w:val="0"/>
              <w:sz w:val="14"/>
              <w:szCs w:val="14"/>
            </w:rPr>
            <w:fldChar w:fldCharType="begin"/>
          </w:r>
          <w:r w:rsidRPr="0037789E">
            <w:rPr>
              <w:rFonts w:asciiTheme="majorHAnsi" w:hAnsiTheme="majorHAnsi" w:cstheme="majorHAnsi"/>
              <w:kern w:val="0"/>
              <w:sz w:val="14"/>
              <w:szCs w:val="14"/>
            </w:rPr>
            <w:instrText xml:space="preserve"> PAGE </w:instrText>
          </w:r>
          <w:r w:rsidRPr="0037789E">
            <w:rPr>
              <w:rFonts w:asciiTheme="majorHAnsi" w:hAnsiTheme="majorHAnsi" w:cstheme="majorHAnsi"/>
              <w:kern w:val="0"/>
              <w:sz w:val="14"/>
              <w:szCs w:val="14"/>
            </w:rPr>
            <w:fldChar w:fldCharType="separate"/>
          </w:r>
          <w:r w:rsidRPr="0037789E">
            <w:rPr>
              <w:rFonts w:asciiTheme="majorHAnsi" w:hAnsiTheme="majorHAnsi" w:cstheme="majorHAnsi"/>
              <w:noProof/>
              <w:kern w:val="0"/>
              <w:sz w:val="14"/>
              <w:szCs w:val="14"/>
            </w:rPr>
            <w:t>1</w:t>
          </w:r>
          <w:r w:rsidRPr="0037789E">
            <w:rPr>
              <w:rFonts w:asciiTheme="majorHAnsi" w:hAnsiTheme="majorHAnsi" w:cstheme="majorHAnsi"/>
              <w:kern w:val="0"/>
              <w:sz w:val="14"/>
              <w:szCs w:val="14"/>
            </w:rPr>
            <w:fldChar w:fldCharType="end"/>
          </w:r>
          <w:r w:rsidRPr="0037789E">
            <w:rPr>
              <w:rFonts w:asciiTheme="majorHAnsi" w:hAnsiTheme="majorHAnsi" w:cstheme="majorHAnsi"/>
              <w:kern w:val="0"/>
              <w:sz w:val="14"/>
              <w:szCs w:val="14"/>
            </w:rPr>
            <w:t xml:space="preserve"> / </w:t>
          </w:r>
          <w:r w:rsidRPr="0037789E">
            <w:rPr>
              <w:rFonts w:asciiTheme="majorHAnsi" w:hAnsiTheme="majorHAnsi" w:cstheme="majorHAnsi"/>
              <w:kern w:val="0"/>
              <w:sz w:val="14"/>
              <w:szCs w:val="14"/>
            </w:rPr>
            <w:fldChar w:fldCharType="begin"/>
          </w:r>
          <w:r w:rsidRPr="0037789E">
            <w:rPr>
              <w:rFonts w:asciiTheme="majorHAnsi" w:hAnsiTheme="majorHAnsi" w:cstheme="majorHAnsi"/>
              <w:kern w:val="0"/>
              <w:sz w:val="14"/>
              <w:szCs w:val="14"/>
            </w:rPr>
            <w:instrText xml:space="preserve"> NUMPAGES </w:instrText>
          </w:r>
          <w:r w:rsidRPr="0037789E">
            <w:rPr>
              <w:rFonts w:asciiTheme="majorHAnsi" w:hAnsiTheme="majorHAnsi" w:cstheme="majorHAnsi"/>
              <w:kern w:val="0"/>
              <w:sz w:val="14"/>
              <w:szCs w:val="14"/>
            </w:rPr>
            <w:fldChar w:fldCharType="separate"/>
          </w:r>
          <w:r w:rsidRPr="0037789E">
            <w:rPr>
              <w:rFonts w:asciiTheme="majorHAnsi" w:hAnsiTheme="majorHAnsi" w:cstheme="majorHAnsi"/>
              <w:noProof/>
              <w:kern w:val="0"/>
              <w:sz w:val="14"/>
              <w:szCs w:val="14"/>
            </w:rPr>
            <w:t>1</w:t>
          </w:r>
          <w:r w:rsidRPr="0037789E">
            <w:rPr>
              <w:rFonts w:asciiTheme="majorHAnsi" w:hAnsiTheme="majorHAnsi" w:cstheme="majorHAnsi"/>
              <w:kern w:val="0"/>
              <w:sz w:val="14"/>
              <w:szCs w:val="14"/>
            </w:rPr>
            <w:fldChar w:fldCharType="end"/>
          </w:r>
        </w:p>
      </w:tc>
    </w:tr>
  </w:tbl>
  <w:p w14:paraId="128F04CD" w14:textId="77777777" w:rsidR="0007329C" w:rsidRDefault="000732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31EF7"/>
    <w:multiLevelType w:val="hybridMultilevel"/>
    <w:tmpl w:val="3A4AA0E4"/>
    <w:lvl w:ilvl="0" w:tplc="F37EC60E">
      <w:numFmt w:val="bullet"/>
      <w:lvlText w:val="•"/>
      <w:lvlJc w:val="left"/>
      <w:pPr>
        <w:ind w:left="1416" w:hanging="708"/>
      </w:pPr>
      <w:rPr>
        <w:rFonts w:ascii="Calibri Light" w:eastAsiaTheme="minorHAnsi" w:hAnsi="Calibri Light" w:cs="Calibri Light"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1878693B"/>
    <w:multiLevelType w:val="multilevel"/>
    <w:tmpl w:val="802EF3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1E3824"/>
    <w:multiLevelType w:val="multilevel"/>
    <w:tmpl w:val="F2C0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471879"/>
    <w:multiLevelType w:val="multilevel"/>
    <w:tmpl w:val="05FA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A80F5A"/>
    <w:multiLevelType w:val="multilevel"/>
    <w:tmpl w:val="4B16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ED5D80"/>
    <w:multiLevelType w:val="multilevel"/>
    <w:tmpl w:val="A63A8B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813704"/>
    <w:multiLevelType w:val="multilevel"/>
    <w:tmpl w:val="B4080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6055716">
    <w:abstractNumId w:val="4"/>
  </w:num>
  <w:num w:numId="2" w16cid:durableId="408888257">
    <w:abstractNumId w:val="2"/>
  </w:num>
  <w:num w:numId="3" w16cid:durableId="1223518397">
    <w:abstractNumId w:val="6"/>
  </w:num>
  <w:num w:numId="4" w16cid:durableId="1065640823">
    <w:abstractNumId w:val="5"/>
  </w:num>
  <w:num w:numId="5" w16cid:durableId="1626498018">
    <w:abstractNumId w:val="1"/>
  </w:num>
  <w:num w:numId="6" w16cid:durableId="2051109882">
    <w:abstractNumId w:val="3"/>
  </w:num>
  <w:num w:numId="7" w16cid:durableId="906500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9C"/>
    <w:rsid w:val="00004EAA"/>
    <w:rsid w:val="00063EE0"/>
    <w:rsid w:val="0007329C"/>
    <w:rsid w:val="00074D2E"/>
    <w:rsid w:val="000A44AC"/>
    <w:rsid w:val="000A4781"/>
    <w:rsid w:val="000C5C4A"/>
    <w:rsid w:val="0011236E"/>
    <w:rsid w:val="00125A02"/>
    <w:rsid w:val="001576BD"/>
    <w:rsid w:val="001968D8"/>
    <w:rsid w:val="001A2168"/>
    <w:rsid w:val="00203864"/>
    <w:rsid w:val="0026204D"/>
    <w:rsid w:val="00301505"/>
    <w:rsid w:val="00362F5C"/>
    <w:rsid w:val="0037789E"/>
    <w:rsid w:val="0039235B"/>
    <w:rsid w:val="003C1C2B"/>
    <w:rsid w:val="003D603D"/>
    <w:rsid w:val="004202A0"/>
    <w:rsid w:val="00424463"/>
    <w:rsid w:val="00451F6D"/>
    <w:rsid w:val="004D2659"/>
    <w:rsid w:val="004F14E9"/>
    <w:rsid w:val="00517297"/>
    <w:rsid w:val="00562DE6"/>
    <w:rsid w:val="005A6E26"/>
    <w:rsid w:val="005E4821"/>
    <w:rsid w:val="005F4F79"/>
    <w:rsid w:val="00666413"/>
    <w:rsid w:val="00673FB8"/>
    <w:rsid w:val="006D598D"/>
    <w:rsid w:val="006E01E5"/>
    <w:rsid w:val="006F3460"/>
    <w:rsid w:val="00702450"/>
    <w:rsid w:val="007053B5"/>
    <w:rsid w:val="00732468"/>
    <w:rsid w:val="0074208F"/>
    <w:rsid w:val="00750355"/>
    <w:rsid w:val="00766398"/>
    <w:rsid w:val="007C0F55"/>
    <w:rsid w:val="00817DAA"/>
    <w:rsid w:val="0085017B"/>
    <w:rsid w:val="008E010A"/>
    <w:rsid w:val="009004B4"/>
    <w:rsid w:val="009037B1"/>
    <w:rsid w:val="00A15756"/>
    <w:rsid w:val="00A321A8"/>
    <w:rsid w:val="00A977BC"/>
    <w:rsid w:val="00AC556A"/>
    <w:rsid w:val="00AF1328"/>
    <w:rsid w:val="00B81961"/>
    <w:rsid w:val="00B87C1E"/>
    <w:rsid w:val="00B90A06"/>
    <w:rsid w:val="00BC5425"/>
    <w:rsid w:val="00BD1049"/>
    <w:rsid w:val="00C60122"/>
    <w:rsid w:val="00CA2965"/>
    <w:rsid w:val="00CF154D"/>
    <w:rsid w:val="00D368EA"/>
    <w:rsid w:val="00DA1F75"/>
    <w:rsid w:val="00DC0E57"/>
    <w:rsid w:val="00DF478C"/>
    <w:rsid w:val="00E06C2A"/>
    <w:rsid w:val="00E47CED"/>
    <w:rsid w:val="00E55450"/>
    <w:rsid w:val="00E6263D"/>
    <w:rsid w:val="00EC7B89"/>
    <w:rsid w:val="00EF44D9"/>
    <w:rsid w:val="00F01972"/>
    <w:rsid w:val="00F25A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0ADA4"/>
  <w15:chartTrackingRefBased/>
  <w15:docId w15:val="{B7588D31-A43F-3248-BF7B-87A58322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7329C"/>
    <w:pPr>
      <w:tabs>
        <w:tab w:val="center" w:pos="4536"/>
        <w:tab w:val="right" w:pos="9072"/>
      </w:tabs>
    </w:pPr>
  </w:style>
  <w:style w:type="character" w:customStyle="1" w:styleId="stBilgiChar">
    <w:name w:val="Üst Bilgi Char"/>
    <w:basedOn w:val="VarsaylanParagrafYazTipi"/>
    <w:link w:val="stBilgi"/>
    <w:uiPriority w:val="99"/>
    <w:rsid w:val="0007329C"/>
  </w:style>
  <w:style w:type="paragraph" w:styleId="AltBilgi">
    <w:name w:val="footer"/>
    <w:basedOn w:val="Normal"/>
    <w:link w:val="AltBilgiChar"/>
    <w:uiPriority w:val="99"/>
    <w:unhideWhenUsed/>
    <w:rsid w:val="0007329C"/>
    <w:pPr>
      <w:tabs>
        <w:tab w:val="center" w:pos="4536"/>
        <w:tab w:val="right" w:pos="9072"/>
      </w:tabs>
    </w:pPr>
  </w:style>
  <w:style w:type="character" w:customStyle="1" w:styleId="AltBilgiChar">
    <w:name w:val="Alt Bilgi Char"/>
    <w:basedOn w:val="VarsaylanParagrafYazTipi"/>
    <w:link w:val="AltBilgi"/>
    <w:uiPriority w:val="99"/>
    <w:rsid w:val="0007329C"/>
  </w:style>
  <w:style w:type="character" w:styleId="SayfaNumaras">
    <w:name w:val="page number"/>
    <w:basedOn w:val="VarsaylanParagrafYazTipi"/>
    <w:uiPriority w:val="99"/>
    <w:semiHidden/>
    <w:unhideWhenUsed/>
    <w:rsid w:val="0007329C"/>
  </w:style>
  <w:style w:type="table" w:styleId="TabloKlavuzu">
    <w:name w:val="Table Grid"/>
    <w:basedOn w:val="NormalTablo"/>
    <w:uiPriority w:val="39"/>
    <w:rsid w:val="00073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20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Sarı Turuncu">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467</Words>
  <Characters>2665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Selim Acarlı</cp:lastModifiedBy>
  <cp:revision>48</cp:revision>
  <dcterms:created xsi:type="dcterms:W3CDTF">2023-11-17T09:32:00Z</dcterms:created>
  <dcterms:modified xsi:type="dcterms:W3CDTF">2025-06-19T17:15:00Z</dcterms:modified>
</cp:coreProperties>
</file>